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B615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Federal Discretionary Grant Management: A Workbook for SEA Project Directors</w:t>
      </w:r>
    </w:p>
    <w:p w14:paraId="49543B97" w14:textId="5BA614F8" w:rsidR="002D23F8" w:rsidRPr="002D23F8" w:rsidRDefault="002D23F8" w:rsidP="002D23F8">
      <w:r w:rsidRPr="002D23F8">
        <w:t>Congratulations on your new role</w:t>
      </w:r>
      <w:r w:rsidR="0A5FA978">
        <w:t>!</w:t>
      </w:r>
      <w:r w:rsidRPr="002D23F8">
        <w:t xml:space="preserve"> Managing a federal discretionary grant within a State Education Agency (SEA) requires a unique blend of programmatic vision and rigorous fiscal compliance. This workbook is designed to help you organize your first 90 days and establish a sustainable management rhythm</w:t>
      </w:r>
      <w:r w:rsidR="2A4272AE">
        <w:t xml:space="preserve"> </w:t>
      </w:r>
      <w:r w:rsidR="336936E8">
        <w:t xml:space="preserve">over the first year and </w:t>
      </w:r>
      <w:r w:rsidR="2A4272AE">
        <w:t>through the rest of the project</w:t>
      </w:r>
      <w:r w:rsidRPr="002D23F8">
        <w:t>.</w:t>
      </w:r>
    </w:p>
    <w:p w14:paraId="3F7EE25A" w14:textId="77777777" w:rsidR="002D23F8" w:rsidRPr="002D23F8" w:rsidRDefault="00362C07" w:rsidP="002D23F8">
      <w:r>
        <w:pict w14:anchorId="46A10203">
          <v:rect id="_x0000_i1025" style="width:0;height:1.5pt" o:hralign="center" o:hrstd="t" o:hr="t" fillcolor="#a0a0a0" stroked="f"/>
        </w:pict>
      </w:r>
    </w:p>
    <w:p w14:paraId="01BE7004" w14:textId="30BC7995" w:rsidR="002D23F8" w:rsidRPr="002D23F8" w:rsidRDefault="002D23F8" w:rsidP="002D23F8">
      <w:pPr>
        <w:rPr>
          <w:b/>
          <w:bCs/>
        </w:rPr>
      </w:pPr>
      <w:r w:rsidRPr="1F50F6BB">
        <w:rPr>
          <w:b/>
          <w:bCs/>
        </w:rPr>
        <w:t xml:space="preserve">Phase 1: </w:t>
      </w:r>
      <w:r w:rsidR="5FF4E2BA" w:rsidRPr="1F50F6BB">
        <w:rPr>
          <w:b/>
          <w:bCs/>
        </w:rPr>
        <w:t>Foundation</w:t>
      </w:r>
      <w:r w:rsidR="13040241" w:rsidRPr="1F50F6BB">
        <w:rPr>
          <w:b/>
          <w:bCs/>
        </w:rPr>
        <w:t>al</w:t>
      </w:r>
      <w:r w:rsidR="5FF4E2BA" w:rsidRPr="1F50F6BB">
        <w:rPr>
          <w:b/>
          <w:bCs/>
        </w:rPr>
        <w:t xml:space="preserve"> </w:t>
      </w:r>
      <w:r w:rsidR="0C9A5055" w:rsidRPr="1F50F6BB">
        <w:rPr>
          <w:b/>
          <w:bCs/>
        </w:rPr>
        <w:t xml:space="preserve">Materials </w:t>
      </w:r>
      <w:r w:rsidR="6D0122C0" w:rsidRPr="1F50F6BB">
        <w:rPr>
          <w:b/>
          <w:bCs/>
        </w:rPr>
        <w:t>for</w:t>
      </w:r>
      <w:r w:rsidR="0C9A5055" w:rsidRPr="1F50F6BB">
        <w:rPr>
          <w:b/>
          <w:bCs/>
        </w:rPr>
        <w:t xml:space="preserve"> a New Award</w:t>
      </w:r>
    </w:p>
    <w:p w14:paraId="01DBEA5A" w14:textId="13418F47" w:rsidR="002D23F8" w:rsidRPr="002D23F8" w:rsidRDefault="002D23F8" w:rsidP="002D23F8">
      <w:r w:rsidRPr="002D23F8">
        <w:t>Before launching activities, you must understand the "rules of the game."</w:t>
      </w:r>
    </w:p>
    <w:p w14:paraId="6CBA2835" w14:textId="77777777" w:rsidR="002D23F8" w:rsidRPr="002D23F8" w:rsidRDefault="002D23F8" w:rsidP="002D23F8">
      <w:r w:rsidRPr="002D23F8">
        <w:rPr>
          <w:b/>
          <w:bCs/>
        </w:rPr>
        <w:t>1.1 Grant Document Audit</w:t>
      </w:r>
      <w:r w:rsidRPr="002D23F8">
        <w:t xml:space="preserve"> Locate and centralize the following documents. These are your "North Star."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6420"/>
        <w:gridCol w:w="1520"/>
      </w:tblGrid>
      <w:tr w:rsidR="002D23F8" w:rsidRPr="002D23F8" w14:paraId="2CA61DB5" w14:textId="77777777" w:rsidTr="00AF7DDC">
        <w:trPr>
          <w:trHeight w:val="300"/>
          <w:tblHeader/>
        </w:trPr>
        <w:tc>
          <w:tcPr>
            <w:tcW w:w="244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CA55BDB" w14:textId="77777777" w:rsidR="002D23F8" w:rsidRPr="002D23F8" w:rsidRDefault="002D23F8" w:rsidP="002D23F8">
            <w:r w:rsidRPr="002D23F8">
              <w:t>Document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EC1B468" w14:textId="77777777" w:rsidR="002D23F8" w:rsidRPr="002D23F8" w:rsidRDefault="002D23F8" w:rsidP="002D23F8">
            <w:r w:rsidRPr="002D23F8">
              <w:t>Purpose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832B712" w14:textId="552242DA" w:rsidR="002D23F8" w:rsidRPr="002D23F8" w:rsidRDefault="002D23F8" w:rsidP="002D23F8"/>
        </w:tc>
      </w:tr>
      <w:tr w:rsidR="002D23F8" w:rsidRPr="002D23F8" w14:paraId="4CB5EFB8" w14:textId="77777777" w:rsidTr="00AF7DDC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BCE7F5E" w14:textId="77777777" w:rsidR="002D23F8" w:rsidRPr="002D23F8" w:rsidRDefault="002D23F8" w:rsidP="002D23F8">
            <w:r w:rsidRPr="002D23F8">
              <w:rPr>
                <w:b/>
                <w:bCs/>
              </w:rPr>
              <w:t>Grant Award Notification (GAN)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BF93874" w14:textId="77777777" w:rsidR="002D23F8" w:rsidRPr="002D23F8" w:rsidRDefault="002D23F8" w:rsidP="002D23F8">
            <w:r w:rsidRPr="002D23F8">
              <w:t>Official legal document; contains the PR/Award number, funding amount, and period of performance.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2F784FE" w14:textId="77777777" w:rsidR="002D23F8" w:rsidRPr="002D23F8" w:rsidRDefault="002D23F8" w:rsidP="002D23F8"/>
        </w:tc>
      </w:tr>
      <w:tr w:rsidR="002D23F8" w:rsidRPr="002D23F8" w14:paraId="0CF20317" w14:textId="77777777" w:rsidTr="00AF7DDC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ABA51D0" w14:textId="77777777" w:rsidR="002D23F8" w:rsidRPr="002D23F8" w:rsidRDefault="002D23F8" w:rsidP="002D23F8">
            <w:r w:rsidRPr="002D23F8">
              <w:rPr>
                <w:b/>
                <w:bCs/>
              </w:rPr>
              <w:t>Approved Narrative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8E18EF3" w14:textId="77777777" w:rsidR="002D23F8" w:rsidRPr="002D23F8" w:rsidRDefault="002D23F8" w:rsidP="002D23F8">
            <w:r w:rsidRPr="002D23F8">
              <w:t>The specific goals, activities, and logic model you committed to.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035D9D1" w14:textId="77777777" w:rsidR="002D23F8" w:rsidRPr="002D23F8" w:rsidRDefault="002D23F8" w:rsidP="002D23F8"/>
        </w:tc>
      </w:tr>
      <w:tr w:rsidR="002D23F8" w:rsidRPr="002D23F8" w14:paraId="382FDF3A" w14:textId="77777777" w:rsidTr="00AF7DDC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B6D4CDE" w14:textId="77777777" w:rsidR="002D23F8" w:rsidRPr="002D23F8" w:rsidRDefault="002D23F8" w:rsidP="002D23F8">
            <w:r w:rsidRPr="002D23F8">
              <w:rPr>
                <w:b/>
                <w:bCs/>
              </w:rPr>
              <w:t>Approved Budget &amp; Justification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B2AAD5F" w14:textId="77777777" w:rsidR="002D23F8" w:rsidRPr="002D23F8" w:rsidRDefault="002D23F8" w:rsidP="002D23F8">
            <w:r w:rsidRPr="002D23F8">
              <w:t>Detailed breakdown of how funds must be spent.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F4A15B6" w14:textId="77777777" w:rsidR="002D23F8" w:rsidRPr="002D23F8" w:rsidRDefault="002D23F8" w:rsidP="002D23F8"/>
        </w:tc>
      </w:tr>
      <w:tr w:rsidR="002D23F8" w:rsidRPr="002D23F8" w14:paraId="3CE74ACB" w14:textId="77777777" w:rsidTr="00AF7DDC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F93946E" w14:textId="77777777" w:rsidR="002D23F8" w:rsidRPr="002D23F8" w:rsidRDefault="002D23F8" w:rsidP="002D23F8">
            <w:hyperlink r:id="rId8" w:history="1">
              <w:r w:rsidRPr="1F50F6BB">
                <w:rPr>
                  <w:rStyle w:val="Hyperlink"/>
                  <w:b/>
                  <w:bCs/>
                </w:rPr>
                <w:t>EDGAR</w:t>
              </w:r>
            </w:hyperlink>
            <w:r w:rsidRPr="1F50F6BB">
              <w:rPr>
                <w:b/>
                <w:bCs/>
              </w:rPr>
              <w:t xml:space="preserve"> / </w:t>
            </w:r>
            <w:hyperlink r:id="rId9" w:history="1">
              <w:r w:rsidRPr="1F50F6BB">
                <w:rPr>
                  <w:rStyle w:val="Hyperlink"/>
                  <w:b/>
                  <w:bCs/>
                </w:rPr>
                <w:t>2 CFR 200</w:t>
              </w:r>
            </w:hyperlink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BB20A10" w14:textId="77777777" w:rsidR="002D23F8" w:rsidRPr="002D23F8" w:rsidRDefault="002D23F8" w:rsidP="002D23F8">
            <w:r w:rsidRPr="002D23F8">
              <w:t>The federal "Uniform Guidance" regulations for grants.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838FA4D" w14:textId="77777777" w:rsidR="002D23F8" w:rsidRPr="002D23F8" w:rsidRDefault="002D23F8" w:rsidP="002D23F8"/>
        </w:tc>
      </w:tr>
    </w:tbl>
    <w:p w14:paraId="102D1A1A" w14:textId="77777777" w:rsidR="002D23F8" w:rsidRPr="002D23F8" w:rsidRDefault="002D23F8" w:rsidP="002D23F8">
      <w:r w:rsidRPr="002D23F8">
        <w:rPr>
          <w:b/>
          <w:bCs/>
        </w:rPr>
        <w:t>1.2 Key Stakeholder Directory</w:t>
      </w:r>
      <w:r w:rsidRPr="002D23F8">
        <w:t xml:space="preserve"> Identify the internal and external partners you will need on speed dial.</w:t>
      </w:r>
    </w:p>
    <w:p w14:paraId="2D4F0E72" w14:textId="77777777" w:rsidR="002D23F8" w:rsidRPr="002D23F8" w:rsidRDefault="002D23F8" w:rsidP="002D23F8">
      <w:pPr>
        <w:numPr>
          <w:ilvl w:val="0"/>
          <w:numId w:val="1"/>
        </w:numPr>
      </w:pPr>
      <w:r w:rsidRPr="002D23F8">
        <w:rPr>
          <w:b/>
          <w:bCs/>
        </w:rPr>
        <w:t>Federal Program Officer (FPO):</w:t>
      </w:r>
      <w:r w:rsidRPr="002D23F8">
        <w:t xml:space="preserve"> Your primary contact at the U.S. Department of Education.</w:t>
      </w:r>
    </w:p>
    <w:p w14:paraId="4CE9EB54" w14:textId="0D7F5D37" w:rsidR="002D23F8" w:rsidRPr="002D23F8" w:rsidRDefault="002D23F8" w:rsidP="002D23F8">
      <w:pPr>
        <w:numPr>
          <w:ilvl w:val="0"/>
          <w:numId w:val="1"/>
        </w:numPr>
      </w:pPr>
      <w:r w:rsidRPr="002D23F8">
        <w:rPr>
          <w:b/>
          <w:bCs/>
        </w:rPr>
        <w:t>SEA Fiscal/Grants Office Liaison:</w:t>
      </w:r>
      <w:r w:rsidRPr="002D23F8">
        <w:t xml:space="preserve"> The person who handles </w:t>
      </w:r>
      <w:r>
        <w:t>draw</w:t>
      </w:r>
      <w:r w:rsidR="1289522E">
        <w:t xml:space="preserve"> downs</w:t>
      </w:r>
      <w:r>
        <w:t xml:space="preserve"> </w:t>
      </w:r>
      <w:r w:rsidR="08F80A11">
        <w:t>in G5</w:t>
      </w:r>
      <w:r w:rsidRPr="002D23F8">
        <w:t xml:space="preserve"> and financial reporting.</w:t>
      </w:r>
    </w:p>
    <w:p w14:paraId="44F5CD08" w14:textId="134DF37A" w:rsidR="002D23F8" w:rsidRPr="002D23F8" w:rsidRDefault="002D23F8" w:rsidP="002D23F8">
      <w:pPr>
        <w:numPr>
          <w:ilvl w:val="0"/>
          <w:numId w:val="1"/>
        </w:numPr>
      </w:pPr>
      <w:r w:rsidRPr="002D23F8">
        <w:rPr>
          <w:b/>
          <w:bCs/>
        </w:rPr>
        <w:t>Data/Evaluation Lead:</w:t>
      </w:r>
      <w:r w:rsidRPr="002D23F8">
        <w:t xml:space="preserve"> </w:t>
      </w:r>
      <w:r w:rsidR="55C6C959">
        <w:t xml:space="preserve">The person who </w:t>
      </w:r>
      <w:r w:rsidR="1840E6D5">
        <w:t>w</w:t>
      </w:r>
      <w:r>
        <w:t>ho</w:t>
      </w:r>
      <w:r w:rsidRPr="002D23F8">
        <w:t xml:space="preserve"> will track the performance measures</w:t>
      </w:r>
      <w:r w:rsidR="62915EA6">
        <w:t>.</w:t>
      </w:r>
    </w:p>
    <w:p w14:paraId="24C78BBE" w14:textId="308254DB" w:rsidR="002D23F8" w:rsidRPr="002D23F8" w:rsidRDefault="002D23F8" w:rsidP="002D23F8">
      <w:pPr>
        <w:numPr>
          <w:ilvl w:val="0"/>
          <w:numId w:val="1"/>
        </w:numPr>
      </w:pPr>
      <w:r w:rsidRPr="002D23F8">
        <w:rPr>
          <w:b/>
          <w:bCs/>
        </w:rPr>
        <w:t>Procurement/Contracting Officer:</w:t>
      </w:r>
      <w:r w:rsidRPr="002D23F8">
        <w:t xml:space="preserve"> </w:t>
      </w:r>
      <w:r w:rsidR="73E5DBC4">
        <w:t>The person who</w:t>
      </w:r>
      <w:r>
        <w:t xml:space="preserve"> </w:t>
      </w:r>
      <w:r w:rsidR="1A820686">
        <w:t>is</w:t>
      </w:r>
      <w:r w:rsidRPr="002D23F8">
        <w:t xml:space="preserve"> managing sub-awards or vendor contracts.</w:t>
      </w:r>
    </w:p>
    <w:p w14:paraId="1648B7B7" w14:textId="77777777" w:rsidR="002D23F8" w:rsidRPr="002D23F8" w:rsidRDefault="00362C07" w:rsidP="002D23F8">
      <w:r>
        <w:pict w14:anchorId="29D7049C">
          <v:rect id="_x0000_i1026" style="width:0;height:1.5pt" o:hralign="center" o:hrstd="t" o:hr="t" fillcolor="#a0a0a0" stroked="f"/>
        </w:pict>
      </w:r>
    </w:p>
    <w:p w14:paraId="7EBCAA17" w14:textId="77777777" w:rsidR="002D23F8" w:rsidRPr="002D23F8" w:rsidRDefault="002D23F8" w:rsidP="002D23F8">
      <w:pPr>
        <w:rPr>
          <w:b/>
          <w:bCs/>
        </w:rPr>
      </w:pPr>
      <w:r w:rsidRPr="1F50F6BB">
        <w:rPr>
          <w:b/>
          <w:bCs/>
        </w:rPr>
        <w:t xml:space="preserve">Phase 2: </w:t>
      </w:r>
      <w:hyperlink r:id="rId10" w:history="1">
        <w:r w:rsidRPr="1F50F6BB">
          <w:rPr>
            <w:rStyle w:val="Hyperlink"/>
            <w:b/>
            <w:bCs/>
          </w:rPr>
          <w:t>Performance &amp; Timeline Management</w:t>
        </w:r>
      </w:hyperlink>
    </w:p>
    <w:p w14:paraId="26D6208E" w14:textId="675248B5" w:rsidR="002D23F8" w:rsidRPr="002D23F8" w:rsidRDefault="002D23F8" w:rsidP="002D23F8">
      <w:r w:rsidRPr="002D23F8">
        <w:t xml:space="preserve">Federal grants are driven by the </w:t>
      </w:r>
      <w:r w:rsidRPr="002D23F8">
        <w:rPr>
          <w:b/>
          <w:bCs/>
        </w:rPr>
        <w:t>GPRA (Government Performance and Results Act)</w:t>
      </w:r>
      <w:r w:rsidRPr="002D23F8">
        <w:t xml:space="preserve"> measures</w:t>
      </w:r>
      <w:r w:rsidR="0F4236C7">
        <w:t>, also known as PROGRAM measures</w:t>
      </w:r>
      <w:r w:rsidRPr="002D23F8">
        <w:t xml:space="preserve"> and your specific project objectives</w:t>
      </w:r>
      <w:r w:rsidR="00867900">
        <w:t xml:space="preserve"> and measures</w:t>
      </w:r>
      <w:r w:rsidR="29B21221">
        <w:t>, also known as PROJECT measures</w:t>
      </w:r>
      <w:r w:rsidR="00867900">
        <w:t xml:space="preserve">. </w:t>
      </w:r>
    </w:p>
    <w:p w14:paraId="7FABA626" w14:textId="77777777" w:rsidR="002D23F8" w:rsidRPr="002D23F8" w:rsidRDefault="002D23F8" w:rsidP="002D23F8">
      <w:r w:rsidRPr="002D23F8">
        <w:rPr>
          <w:b/>
          <w:bCs/>
        </w:rPr>
        <w:t>Template: Project Milestones Tracker</w:t>
      </w:r>
      <w:r w:rsidRPr="002D23F8">
        <w:t xml:space="preserve"> </w:t>
      </w:r>
      <w:r w:rsidRPr="002D23F8">
        <w:rPr>
          <w:i/>
          <w:iCs/>
        </w:rPr>
        <w:t>Use this to translate your multi-year narrative into actionable quarterly tasks.</w:t>
      </w:r>
    </w:p>
    <w:tbl>
      <w:tblPr>
        <w:tblW w:w="136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4320"/>
        <w:gridCol w:w="3110"/>
        <w:gridCol w:w="1765"/>
        <w:gridCol w:w="1773"/>
      </w:tblGrid>
      <w:tr w:rsidR="002D23F8" w:rsidRPr="002D23F8" w14:paraId="196F429D" w14:textId="77777777" w:rsidTr="00AF7DDC">
        <w:trPr>
          <w:trHeight w:val="300"/>
          <w:tblHeader/>
        </w:trPr>
        <w:tc>
          <w:tcPr>
            <w:tcW w:w="2727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711F357" w14:textId="77777777" w:rsidR="002D23F8" w:rsidRPr="002D23F8" w:rsidRDefault="002D23F8" w:rsidP="002D23F8">
            <w:r w:rsidRPr="002D23F8">
              <w:t>Objective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6B15468" w14:textId="77777777" w:rsidR="002D23F8" w:rsidRPr="002D23F8" w:rsidRDefault="002D23F8" w:rsidP="002D23F8">
            <w:r w:rsidRPr="002D23F8">
              <w:t>Key Activity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BFFE0BD" w14:textId="12FE1E9E" w:rsidR="002D23F8" w:rsidRPr="002D23F8" w:rsidRDefault="002D23F8" w:rsidP="002D23F8">
            <w:r w:rsidRPr="002D23F8">
              <w:t xml:space="preserve">Person </w:t>
            </w:r>
            <w:r w:rsidR="0F14279A">
              <w:t>Responsible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25D8D07" w14:textId="77777777" w:rsidR="002D23F8" w:rsidRPr="002D23F8" w:rsidRDefault="002D23F8" w:rsidP="002D23F8">
            <w:r w:rsidRPr="002D23F8">
              <w:t>Target Date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9F7FB44" w14:textId="77777777" w:rsidR="002D23F8" w:rsidRPr="002D23F8" w:rsidRDefault="002D23F8" w:rsidP="002D23F8">
            <w:r w:rsidRPr="002D23F8">
              <w:t>Status</w:t>
            </w:r>
          </w:p>
        </w:tc>
      </w:tr>
      <w:tr w:rsidR="002D23F8" w:rsidRPr="002D23F8" w14:paraId="2F1B85A9" w14:textId="77777777" w:rsidTr="00AF7DDC">
        <w:trPr>
          <w:trHeight w:val="300"/>
        </w:trPr>
        <w:tc>
          <w:tcPr>
            <w:tcW w:w="2727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C5B4285" w14:textId="77777777" w:rsidR="002D23F8" w:rsidRPr="002D23F8" w:rsidRDefault="002D23F8" w:rsidP="002D23F8">
            <w:r w:rsidRPr="002D23F8">
              <w:rPr>
                <w:i/>
                <w:iCs/>
              </w:rPr>
              <w:t>Ex: Hire Evaluator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413DF14" w14:textId="77777777" w:rsidR="002D23F8" w:rsidRPr="002D23F8" w:rsidRDefault="002D23F8" w:rsidP="002D23F8">
            <w:r w:rsidRPr="002D23F8">
              <w:rPr>
                <w:i/>
                <w:iCs/>
              </w:rPr>
              <w:t>Draft RFP for external evaluation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961D848" w14:textId="77777777" w:rsidR="002D23F8" w:rsidRPr="002D23F8" w:rsidRDefault="002D23F8" w:rsidP="002D23F8">
            <w:r w:rsidRPr="002D23F8">
              <w:rPr>
                <w:i/>
                <w:iCs/>
              </w:rPr>
              <w:t>Project Director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9B33014" w14:textId="77777777" w:rsidR="002D23F8" w:rsidRPr="002D23F8" w:rsidRDefault="002D23F8" w:rsidP="002D23F8">
            <w:r w:rsidRPr="002D23F8">
              <w:rPr>
                <w:i/>
                <w:iCs/>
              </w:rPr>
              <w:t>Oct 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A4834BA" w14:textId="77777777" w:rsidR="002D23F8" w:rsidRPr="002D23F8" w:rsidRDefault="002D23F8" w:rsidP="002D23F8">
            <w:r w:rsidRPr="002D23F8">
              <w:rPr>
                <w:i/>
                <w:iCs/>
              </w:rPr>
              <w:t>Not Started</w:t>
            </w:r>
          </w:p>
        </w:tc>
      </w:tr>
      <w:tr w:rsidR="002D23F8" w:rsidRPr="002D23F8" w14:paraId="4045C689" w14:textId="77777777" w:rsidTr="00AF7DDC">
        <w:trPr>
          <w:trHeight w:val="300"/>
        </w:trPr>
        <w:tc>
          <w:tcPr>
            <w:tcW w:w="2727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DE35FD0" w14:textId="77777777" w:rsidR="002D23F8" w:rsidRPr="002D23F8" w:rsidRDefault="002D23F8" w:rsidP="002D23F8"/>
        </w:tc>
        <w:tc>
          <w:tcPr>
            <w:tcW w:w="43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6DF89FA" w14:textId="77777777" w:rsidR="002D23F8" w:rsidRPr="002D23F8" w:rsidRDefault="002D23F8" w:rsidP="002D23F8"/>
        </w:tc>
        <w:tc>
          <w:tcPr>
            <w:tcW w:w="311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8BD065F" w14:textId="77777777" w:rsidR="002D23F8" w:rsidRPr="002D23F8" w:rsidRDefault="002D23F8" w:rsidP="002D23F8"/>
        </w:tc>
        <w:tc>
          <w:tcPr>
            <w:tcW w:w="176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6AA6073" w14:textId="77777777" w:rsidR="002D23F8" w:rsidRPr="002D23F8" w:rsidRDefault="002D23F8" w:rsidP="002D23F8"/>
        </w:tc>
        <w:tc>
          <w:tcPr>
            <w:tcW w:w="1773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142F1DF" w14:textId="77777777" w:rsidR="002D23F8" w:rsidRPr="002D23F8" w:rsidRDefault="002D23F8" w:rsidP="002D23F8"/>
        </w:tc>
      </w:tr>
      <w:tr w:rsidR="002D23F8" w:rsidRPr="002D23F8" w14:paraId="522A4F36" w14:textId="77777777" w:rsidTr="00AF7DDC">
        <w:trPr>
          <w:trHeight w:val="300"/>
        </w:trPr>
        <w:tc>
          <w:tcPr>
            <w:tcW w:w="2727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FDE5D65" w14:textId="77777777" w:rsidR="002D23F8" w:rsidRPr="002D23F8" w:rsidRDefault="002D23F8" w:rsidP="002D23F8"/>
        </w:tc>
        <w:tc>
          <w:tcPr>
            <w:tcW w:w="432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0B1CD8D" w14:textId="77777777" w:rsidR="002D23F8" w:rsidRPr="002D23F8" w:rsidRDefault="002D23F8" w:rsidP="002D23F8"/>
        </w:tc>
        <w:tc>
          <w:tcPr>
            <w:tcW w:w="311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027563D" w14:textId="77777777" w:rsidR="002D23F8" w:rsidRPr="002D23F8" w:rsidRDefault="002D23F8" w:rsidP="002D23F8"/>
        </w:tc>
        <w:tc>
          <w:tcPr>
            <w:tcW w:w="176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0244EF4" w14:textId="77777777" w:rsidR="002D23F8" w:rsidRPr="002D23F8" w:rsidRDefault="002D23F8" w:rsidP="002D23F8"/>
        </w:tc>
        <w:tc>
          <w:tcPr>
            <w:tcW w:w="1773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BF5DCF3" w14:textId="77777777" w:rsidR="002D23F8" w:rsidRPr="002D23F8" w:rsidRDefault="002D23F8" w:rsidP="002D23F8"/>
        </w:tc>
      </w:tr>
    </w:tbl>
    <w:p w14:paraId="3C2DAB0D" w14:textId="77777777" w:rsidR="002D23F8" w:rsidRPr="002D23F8" w:rsidRDefault="002D23F8" w:rsidP="002D23F8">
      <w:r w:rsidRPr="002D23F8">
        <w:rPr>
          <w:b/>
          <w:bCs/>
        </w:rPr>
        <w:t>Pro-Tip:</w:t>
      </w:r>
      <w:r w:rsidRPr="002D23F8">
        <w:t xml:space="preserve"> Schedule a "Connection Before Content" meeting with your project team. Before diving into the technical milestones, ensure everyone understands the "why" behind the grant and feels connected to the mission.</w:t>
      </w:r>
    </w:p>
    <w:p w14:paraId="3F07E2CC" w14:textId="77777777" w:rsidR="002D23F8" w:rsidRPr="002D23F8" w:rsidRDefault="00362C07" w:rsidP="002D23F8">
      <w:r>
        <w:pict w14:anchorId="38D88E25">
          <v:rect id="_x0000_i1027" style="width:0;height:1.5pt" o:hralign="center" o:hrstd="t" o:hr="t" fillcolor="#a0a0a0" stroked="f"/>
        </w:pict>
      </w:r>
    </w:p>
    <w:p w14:paraId="2C94741E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Phase 3: Fiscal Stewardship &amp; Compliance</w:t>
      </w:r>
    </w:p>
    <w:p w14:paraId="56376BBA" w14:textId="0BF505E9" w:rsidR="002D23F8" w:rsidRPr="002D23F8" w:rsidRDefault="002D23F8" w:rsidP="002D23F8">
      <w:r w:rsidRPr="002D23F8">
        <w:t>In an SEA, "braiding" and "blending" funds is common, but discretionary grant</w:t>
      </w:r>
      <w:r w:rsidR="00424130">
        <w:t xml:space="preserve"> funds</w:t>
      </w:r>
      <w:r w:rsidRPr="002D23F8">
        <w:t xml:space="preserve"> must remain distinct.</w:t>
      </w:r>
    </w:p>
    <w:p w14:paraId="272CADB1" w14:textId="77777777" w:rsidR="002D23F8" w:rsidRPr="002D23F8" w:rsidRDefault="002D23F8" w:rsidP="002D23F8">
      <w:r w:rsidRPr="002D23F8">
        <w:rPr>
          <w:b/>
          <w:bCs/>
        </w:rPr>
        <w:t>3.1 The "Allowability" Test</w:t>
      </w:r>
      <w:r w:rsidRPr="002D23F8">
        <w:t xml:space="preserve"> Before approving any expense, ask:</w:t>
      </w:r>
    </w:p>
    <w:p w14:paraId="78102116" w14:textId="77777777" w:rsidR="002D23F8" w:rsidRPr="002D23F8" w:rsidRDefault="002D23F8" w:rsidP="002D23F8">
      <w:pPr>
        <w:numPr>
          <w:ilvl w:val="0"/>
          <w:numId w:val="2"/>
        </w:numPr>
      </w:pPr>
      <w:r w:rsidRPr="002D23F8">
        <w:t xml:space="preserve">Is it </w:t>
      </w:r>
      <w:r w:rsidRPr="002D23F8">
        <w:rPr>
          <w:b/>
          <w:bCs/>
        </w:rPr>
        <w:t>Necessary</w:t>
      </w:r>
      <w:r w:rsidRPr="002D23F8">
        <w:t xml:space="preserve"> for the performance of the award?</w:t>
      </w:r>
    </w:p>
    <w:p w14:paraId="1DD23544" w14:textId="77777777" w:rsidR="002D23F8" w:rsidRPr="002D23F8" w:rsidRDefault="002D23F8" w:rsidP="002D23F8">
      <w:pPr>
        <w:numPr>
          <w:ilvl w:val="0"/>
          <w:numId w:val="2"/>
        </w:numPr>
      </w:pPr>
      <w:r w:rsidRPr="002D23F8">
        <w:t xml:space="preserve">Is it </w:t>
      </w:r>
      <w:r w:rsidRPr="002D23F8">
        <w:rPr>
          <w:b/>
          <w:bCs/>
        </w:rPr>
        <w:t>Reasonable</w:t>
      </w:r>
      <w:r w:rsidRPr="002D23F8">
        <w:t xml:space="preserve"> (market price)?</w:t>
      </w:r>
    </w:p>
    <w:p w14:paraId="24523750" w14:textId="77777777" w:rsidR="002D23F8" w:rsidRPr="002D23F8" w:rsidRDefault="002D23F8" w:rsidP="002D23F8">
      <w:pPr>
        <w:numPr>
          <w:ilvl w:val="0"/>
          <w:numId w:val="2"/>
        </w:numPr>
      </w:pPr>
      <w:r w:rsidRPr="002D23F8">
        <w:t xml:space="preserve">Is it </w:t>
      </w:r>
      <w:r w:rsidRPr="002D23F8">
        <w:rPr>
          <w:b/>
          <w:bCs/>
        </w:rPr>
        <w:t>Allocable</w:t>
      </w:r>
      <w:r w:rsidRPr="002D23F8">
        <w:t xml:space="preserve"> (solely for this project)?</w:t>
      </w:r>
    </w:p>
    <w:p w14:paraId="0120C817" w14:textId="77777777" w:rsidR="002D23F8" w:rsidRPr="002D23F8" w:rsidRDefault="002D23F8" w:rsidP="002D23F8">
      <w:pPr>
        <w:numPr>
          <w:ilvl w:val="0"/>
          <w:numId w:val="2"/>
        </w:numPr>
      </w:pPr>
      <w:r w:rsidRPr="002D23F8">
        <w:t xml:space="preserve">Is it </w:t>
      </w:r>
      <w:r w:rsidRPr="002D23F8">
        <w:rPr>
          <w:b/>
          <w:bCs/>
        </w:rPr>
        <w:t>Consistent</w:t>
      </w:r>
      <w:r w:rsidRPr="002D23F8">
        <w:t xml:space="preserve"> with SEA policies?</w:t>
      </w:r>
    </w:p>
    <w:p w14:paraId="61A8CD88" w14:textId="77777777" w:rsidR="002D23F8" w:rsidRPr="002D23F8" w:rsidRDefault="002D23F8" w:rsidP="002D23F8">
      <w:r w:rsidRPr="002D23F8">
        <w:rPr>
          <w:b/>
          <w:bCs/>
        </w:rPr>
        <w:t>Template: Budget Burn Rate Tracker</w:t>
      </w:r>
      <w:r w:rsidRPr="002D23F8">
        <w:t xml:space="preserve"> </w:t>
      </w:r>
      <w:r w:rsidRPr="002D23F8">
        <w:rPr>
          <w:i/>
          <w:iCs/>
        </w:rPr>
        <w:t>Update this monthly with your Fiscal Office to avoid "under-spending" (which risks future funding) or "over-spending."</w:t>
      </w:r>
    </w:p>
    <w:tbl>
      <w:tblPr>
        <w:tblW w:w="136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2378"/>
        <w:gridCol w:w="2988"/>
        <w:gridCol w:w="3264"/>
        <w:gridCol w:w="2202"/>
      </w:tblGrid>
      <w:tr w:rsidR="002D23F8" w:rsidRPr="002D23F8" w14:paraId="1202E8E3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3E1B692" w14:textId="77777777" w:rsidR="002D23F8" w:rsidRPr="002D23F8" w:rsidRDefault="002D23F8" w:rsidP="002D23F8">
            <w:r w:rsidRPr="002D23F8">
              <w:lastRenderedPageBreak/>
              <w:t>Budget Category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525CE04" w14:textId="77777777" w:rsidR="002D23F8" w:rsidRPr="002D23F8" w:rsidRDefault="002D23F8" w:rsidP="002D23F8">
            <w:r w:rsidRPr="002D23F8">
              <w:t>Total Awarded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65D342A" w14:textId="77777777" w:rsidR="002D23F8" w:rsidRPr="002D23F8" w:rsidRDefault="002D23F8" w:rsidP="002D23F8">
            <w:r w:rsidRPr="002D23F8">
              <w:t>Expended to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0A6F864" w14:textId="77777777" w:rsidR="002D23F8" w:rsidRPr="002D23F8" w:rsidRDefault="002D23F8" w:rsidP="002D23F8">
            <w:r w:rsidRPr="002D23F8">
              <w:t>Remaining Balance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093D299" w14:textId="77777777" w:rsidR="002D23F8" w:rsidRPr="002D23F8" w:rsidRDefault="002D23F8" w:rsidP="002D23F8">
            <w:r w:rsidRPr="002D23F8">
              <w:t>% Remaining</w:t>
            </w:r>
          </w:p>
        </w:tc>
      </w:tr>
      <w:tr w:rsidR="002D23F8" w:rsidRPr="002D23F8" w14:paraId="6E89683B" w14:textId="77777777"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4AD13E0" w14:textId="77777777" w:rsidR="002D23F8" w:rsidRPr="002D23F8" w:rsidRDefault="002D23F8" w:rsidP="002D23F8">
            <w:r w:rsidRPr="002D23F8">
              <w:t>Personnel/Fringe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EE02FD2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9977504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270D93F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E4B019C" w14:textId="77777777" w:rsidR="002D23F8" w:rsidRPr="002D23F8" w:rsidRDefault="002D23F8" w:rsidP="002D23F8"/>
        </w:tc>
      </w:tr>
      <w:tr w:rsidR="002D23F8" w:rsidRPr="002D23F8" w14:paraId="60744DBA" w14:textId="77777777"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8707FDE" w14:textId="77777777" w:rsidR="002D23F8" w:rsidRPr="002D23F8" w:rsidRDefault="002D23F8" w:rsidP="002D23F8">
            <w:r w:rsidRPr="002D23F8">
              <w:t>Travel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EE638CB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11DB915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C5245DA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B4E9344" w14:textId="77777777" w:rsidR="002D23F8" w:rsidRPr="002D23F8" w:rsidRDefault="002D23F8" w:rsidP="002D23F8"/>
        </w:tc>
      </w:tr>
      <w:tr w:rsidR="002D23F8" w:rsidRPr="002D23F8" w14:paraId="23EB44FE" w14:textId="77777777"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8D6B0FC" w14:textId="77777777" w:rsidR="002D23F8" w:rsidRPr="002D23F8" w:rsidRDefault="002D23F8" w:rsidP="002D23F8">
            <w:r w:rsidRPr="002D23F8">
              <w:t>Equipment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F509A47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23B4A65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7A1CBCC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5143968" w14:textId="77777777" w:rsidR="002D23F8" w:rsidRPr="002D23F8" w:rsidRDefault="002D23F8" w:rsidP="002D23F8"/>
        </w:tc>
      </w:tr>
      <w:tr w:rsidR="002D23F8" w:rsidRPr="002D23F8" w14:paraId="71905167" w14:textId="77777777"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3C281A5" w14:textId="77777777" w:rsidR="002D23F8" w:rsidRPr="002D23F8" w:rsidRDefault="002D23F8" w:rsidP="002D23F8">
            <w:r w:rsidRPr="002D23F8">
              <w:t>Supplies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7F4415A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07BEC31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D20ED1E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3355F28" w14:textId="77777777" w:rsidR="002D23F8" w:rsidRPr="002D23F8" w:rsidRDefault="002D23F8" w:rsidP="002D23F8"/>
        </w:tc>
      </w:tr>
      <w:tr w:rsidR="002D23F8" w:rsidRPr="002D23F8" w14:paraId="4E5D2780" w14:textId="77777777"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88FCE62" w14:textId="77777777" w:rsidR="002D23F8" w:rsidRPr="002D23F8" w:rsidRDefault="002D23F8" w:rsidP="002D23F8">
            <w:r w:rsidRPr="002D23F8">
              <w:t>Contractual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FED6A14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20B715B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C08A611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2D7DD9A" w14:textId="77777777" w:rsidR="002D23F8" w:rsidRPr="002D23F8" w:rsidRDefault="002D23F8" w:rsidP="002D23F8"/>
        </w:tc>
      </w:tr>
      <w:tr w:rsidR="002D23F8" w:rsidRPr="002D23F8" w14:paraId="1D54925E" w14:textId="77777777"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6C12912" w14:textId="77777777" w:rsidR="002D23F8" w:rsidRPr="002D23F8" w:rsidRDefault="002D23F8" w:rsidP="002D23F8">
            <w:r w:rsidRPr="002D23F8">
              <w:t>Indirect Costs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B5193FF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3A76C2A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8ED4885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203F82C" w14:textId="77777777" w:rsidR="002D23F8" w:rsidRPr="002D23F8" w:rsidRDefault="002D23F8" w:rsidP="002D23F8"/>
        </w:tc>
      </w:tr>
    </w:tbl>
    <w:p w14:paraId="507FE6A8" w14:textId="77777777" w:rsidR="002D23F8" w:rsidRPr="002D23F8" w:rsidRDefault="00362C07" w:rsidP="002D23F8">
      <w:r>
        <w:pict w14:anchorId="66D1E121">
          <v:rect id="_x0000_i1028" style="width:0;height:1.5pt" o:hralign="center" o:hrstd="t" o:hr="t" fillcolor="#a0a0a0" stroked="f"/>
        </w:pict>
      </w:r>
    </w:p>
    <w:p w14:paraId="55C091F2" w14:textId="77777777" w:rsidR="002D23F8" w:rsidRPr="002D23F8" w:rsidRDefault="002D23F8" w:rsidP="002D23F8">
      <w:pPr>
        <w:rPr>
          <w:b/>
          <w:bCs/>
        </w:rPr>
      </w:pPr>
      <w:r w:rsidRPr="5268C4AB">
        <w:rPr>
          <w:b/>
          <w:bCs/>
        </w:rPr>
        <w:t xml:space="preserve">Phase 4: </w:t>
      </w:r>
      <w:hyperlink r:id="rId11">
        <w:r w:rsidRPr="5268C4AB">
          <w:rPr>
            <w:rStyle w:val="Hyperlink"/>
            <w:b/>
            <w:bCs/>
          </w:rPr>
          <w:t>Reporting &amp; Documentation</w:t>
        </w:r>
      </w:hyperlink>
    </w:p>
    <w:p w14:paraId="57ABE5BA" w14:textId="77777777" w:rsidR="002D23F8" w:rsidRPr="002D23F8" w:rsidRDefault="002D23F8" w:rsidP="002D23F8">
      <w:r w:rsidRPr="002D23F8">
        <w:t>"If it isn't documented, it didn't happen."</w:t>
      </w:r>
    </w:p>
    <w:p w14:paraId="7898F13A" w14:textId="641B73AF" w:rsidR="002D23F8" w:rsidRPr="002D23F8" w:rsidRDefault="002D23F8" w:rsidP="002D23F8">
      <w:r w:rsidRPr="002D23F8">
        <w:rPr>
          <w:b/>
          <w:bCs/>
        </w:rPr>
        <w:t>4.1 The Annual Performance Report (APR)</w:t>
      </w:r>
      <w:r w:rsidRPr="002D23F8">
        <w:t xml:space="preserve"> Mark your calendar for the APR window (</w:t>
      </w:r>
      <w:r w:rsidR="000A31D4">
        <w:t xml:space="preserve">Directions </w:t>
      </w:r>
      <w:r w:rsidR="48650415">
        <w:t xml:space="preserve">via </w:t>
      </w:r>
      <w:r w:rsidR="2310764D">
        <w:t xml:space="preserve">the Dear Colleague Letter (DCL) are sent </w:t>
      </w:r>
      <w:r w:rsidR="000A31D4">
        <w:t>in early February</w:t>
      </w:r>
      <w:r w:rsidR="20637A30">
        <w:t xml:space="preserve"> and contain any changes to reporting requirements in the APR</w:t>
      </w:r>
      <w:r w:rsidR="000A31D4">
        <w:t xml:space="preserve">, </w:t>
      </w:r>
      <w:r w:rsidR="005776BF">
        <w:t>budget and performance data timeline ends in March, report due early May</w:t>
      </w:r>
      <w:r w:rsidRPr="002D23F8">
        <w:t>). You will need:</w:t>
      </w:r>
    </w:p>
    <w:p w14:paraId="1E6B240D" w14:textId="118C90AD" w:rsidR="002D23F8" w:rsidRPr="002D23F8" w:rsidRDefault="002D23F8" w:rsidP="002D23F8">
      <w:pPr>
        <w:numPr>
          <w:ilvl w:val="0"/>
          <w:numId w:val="3"/>
        </w:numPr>
      </w:pPr>
      <w:r w:rsidRPr="002D23F8">
        <w:t xml:space="preserve">Progress on each GPRA </w:t>
      </w:r>
      <w:r w:rsidR="7B3A54C9">
        <w:t xml:space="preserve">(PROGRAM) </w:t>
      </w:r>
      <w:r w:rsidR="00CC4A7C">
        <w:t xml:space="preserve">and project </w:t>
      </w:r>
      <w:r w:rsidRPr="002D23F8">
        <w:t>measure.</w:t>
      </w:r>
    </w:p>
    <w:p w14:paraId="0F52C272" w14:textId="77777777" w:rsidR="002D23F8" w:rsidRPr="002D23F8" w:rsidRDefault="002D23F8" w:rsidP="002D23F8">
      <w:pPr>
        <w:numPr>
          <w:ilvl w:val="0"/>
          <w:numId w:val="3"/>
        </w:numPr>
      </w:pPr>
      <w:r w:rsidRPr="002D23F8">
        <w:t>Success stories and "lessons learned."</w:t>
      </w:r>
    </w:p>
    <w:p w14:paraId="74FA39F8" w14:textId="6B48D924" w:rsidR="002D23F8" w:rsidRPr="002D23F8" w:rsidRDefault="00CC4A7C" w:rsidP="002D23F8">
      <w:pPr>
        <w:numPr>
          <w:ilvl w:val="0"/>
          <w:numId w:val="3"/>
        </w:numPr>
      </w:pPr>
      <w:r>
        <w:t>Explanations of why the data look the way they do.</w:t>
      </w:r>
    </w:p>
    <w:p w14:paraId="3E8EE5E4" w14:textId="77777777" w:rsidR="002D23F8" w:rsidRPr="002D23F8" w:rsidRDefault="002D23F8" w:rsidP="002D23F8">
      <w:r w:rsidRPr="002D23F8">
        <w:rPr>
          <w:b/>
          <w:bCs/>
        </w:rPr>
        <w:t>4.2 Time and Effort Reporting</w:t>
      </w:r>
      <w:r w:rsidRPr="002D23F8">
        <w:t xml:space="preserve"> Ensure all staff funded by the grant are completing "Time and Effort" logs (e.g., Semi-Annual Certifications or Personnel Activity Reports) to comply with federal audit requirements.</w:t>
      </w:r>
    </w:p>
    <w:p w14:paraId="0B162CFB" w14:textId="77777777" w:rsidR="002D23F8" w:rsidRPr="002D23F8" w:rsidRDefault="00362C07" w:rsidP="002D23F8">
      <w:r>
        <w:pict w14:anchorId="1CB697F7">
          <v:rect id="_x0000_i1029" style="width:0;height:1.5pt" o:hralign="center" o:hrstd="t" o:hr="t" fillcolor="#a0a0a0" stroked="f"/>
        </w:pict>
      </w:r>
    </w:p>
    <w:p w14:paraId="6CC841CB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Phase 5: Monitoring Sub-Grantees</w:t>
      </w:r>
    </w:p>
    <w:p w14:paraId="5990F3D1" w14:textId="77777777" w:rsidR="002D23F8" w:rsidRPr="002D23F8" w:rsidRDefault="002D23F8" w:rsidP="002D23F8">
      <w:r w:rsidRPr="002D23F8">
        <w:t>If your grant involves sub-awarding funds to districts (LEAs) or non-profits:</w:t>
      </w:r>
    </w:p>
    <w:p w14:paraId="28E6887F" w14:textId="48568180" w:rsidR="002D23F8" w:rsidRPr="002D23F8" w:rsidRDefault="002D23F8" w:rsidP="002D23F8">
      <w:pPr>
        <w:numPr>
          <w:ilvl w:val="0"/>
          <w:numId w:val="4"/>
        </w:numPr>
      </w:pPr>
      <w:r w:rsidRPr="002D23F8">
        <w:rPr>
          <w:b/>
          <w:bCs/>
        </w:rPr>
        <w:t>Risk Assessment:</w:t>
      </w:r>
      <w:r w:rsidRPr="002D23F8">
        <w:t xml:space="preserve"> Evaluate sub-grantees' financial health </w:t>
      </w:r>
      <w:r w:rsidR="00D72BA4">
        <w:t xml:space="preserve">and internal control </w:t>
      </w:r>
      <w:r w:rsidRPr="002D23F8">
        <w:t>before awarding.</w:t>
      </w:r>
    </w:p>
    <w:p w14:paraId="2F0F355F" w14:textId="77777777" w:rsidR="002D23F8" w:rsidRPr="002D23F8" w:rsidRDefault="002D23F8" w:rsidP="002D23F8">
      <w:pPr>
        <w:numPr>
          <w:ilvl w:val="0"/>
          <w:numId w:val="4"/>
        </w:numPr>
      </w:pPr>
      <w:r w:rsidRPr="002D23F8">
        <w:rPr>
          <w:b/>
          <w:bCs/>
        </w:rPr>
        <w:t>Desktop Monitoring:</w:t>
      </w:r>
      <w:r w:rsidRPr="002D23F8">
        <w:t xml:space="preserve"> Monthly review of their invoices and progress reports.</w:t>
      </w:r>
    </w:p>
    <w:p w14:paraId="757F510E" w14:textId="77777777" w:rsidR="002D23F8" w:rsidRPr="002D23F8" w:rsidRDefault="002D23F8" w:rsidP="002D23F8">
      <w:pPr>
        <w:numPr>
          <w:ilvl w:val="0"/>
          <w:numId w:val="4"/>
        </w:numPr>
      </w:pPr>
      <w:r w:rsidRPr="002D23F8">
        <w:rPr>
          <w:b/>
          <w:bCs/>
        </w:rPr>
        <w:t>On-Site Monitoring:</w:t>
      </w:r>
      <w:r w:rsidRPr="002D23F8">
        <w:t xml:space="preserve"> Periodic visits to verify programmatic implementation.</w:t>
      </w:r>
    </w:p>
    <w:p w14:paraId="2BF1E366" w14:textId="77777777" w:rsidR="002D23F8" w:rsidRPr="002D23F8" w:rsidRDefault="00362C07" w:rsidP="002D23F8">
      <w:r>
        <w:pict w14:anchorId="774DE4DB">
          <v:rect id="_x0000_i1030" style="width:0;height:1.5pt" o:hralign="center" o:hrstd="t" o:hr="t" fillcolor="#a0a0a0" stroked="f"/>
        </w:pict>
      </w:r>
    </w:p>
    <w:p w14:paraId="63AB9DF4" w14:textId="77777777" w:rsidR="002D23F8" w:rsidRPr="002D23F8" w:rsidRDefault="002D23F8" w:rsidP="002D23F8">
      <w:r w:rsidRPr="002D23F8">
        <w:t xml:space="preserve">When managing Federal discretionary grants within a State Education Agency (SEA), procurement is often the highest-risk area for audits. Whether you are issuing sub-awards to local districts or contracting with vendors, staying compliant with </w:t>
      </w:r>
      <w:r w:rsidRPr="002D23F8">
        <w:rPr>
          <w:b/>
          <w:bCs/>
        </w:rPr>
        <w:t>EDGAR</w:t>
      </w:r>
      <w:r w:rsidRPr="002D23F8">
        <w:t xml:space="preserve"> and </w:t>
      </w:r>
      <w:r w:rsidRPr="002D23F8">
        <w:rPr>
          <w:b/>
          <w:bCs/>
        </w:rPr>
        <w:t>2 CFR 200</w:t>
      </w:r>
      <w:r w:rsidRPr="002D23F8">
        <w:t xml:space="preserve"> is essential.</w:t>
      </w:r>
    </w:p>
    <w:p w14:paraId="49D7963F" w14:textId="77777777" w:rsidR="002D23F8" w:rsidRPr="002D23F8" w:rsidRDefault="002D23F8" w:rsidP="002D23F8">
      <w:r w:rsidRPr="002D23F8">
        <w:t>Here is a guide to the "Do’s and Don’ts" for both processes.</w:t>
      </w:r>
    </w:p>
    <w:p w14:paraId="6EABCB59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Part 1: Sub-Awards (Granting to LEAs or Non-Profits)</w:t>
      </w:r>
    </w:p>
    <w:p w14:paraId="4FA4F4B7" w14:textId="77777777" w:rsidR="002D23F8" w:rsidRPr="002D23F8" w:rsidRDefault="002D23F8" w:rsidP="002D23F8">
      <w:r w:rsidRPr="002D23F8">
        <w:rPr>
          <w:i/>
          <w:iCs/>
        </w:rPr>
        <w:t>Sub-awards are typically used when you are passing through funds to another entity to carry out a portion of the federal program’s goals.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5"/>
        <w:gridCol w:w="3795"/>
      </w:tblGrid>
      <w:tr w:rsidR="002D23F8" w:rsidRPr="002D23F8" w14:paraId="52D9E05B" w14:textId="77777777" w:rsidTr="00AF7DDC">
        <w:trPr>
          <w:trHeight w:val="300"/>
          <w:tblHeader/>
        </w:trPr>
        <w:tc>
          <w:tcPr>
            <w:tcW w:w="65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64CF32A" w14:textId="77777777" w:rsidR="002D23F8" w:rsidRPr="002D23F8" w:rsidRDefault="002D23F8" w:rsidP="002D23F8">
            <w:r w:rsidRPr="002D23F8">
              <w:rPr>
                <w:b/>
                <w:bCs/>
              </w:rPr>
              <w:t>Do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1194E33" w14:textId="77777777" w:rsidR="002D23F8" w:rsidRPr="002D23F8" w:rsidRDefault="002D23F8" w:rsidP="002D23F8">
            <w:r w:rsidRPr="002D23F8">
              <w:rPr>
                <w:b/>
                <w:bCs/>
              </w:rPr>
              <w:t>Don’t</w:t>
            </w:r>
          </w:p>
        </w:tc>
      </w:tr>
      <w:tr w:rsidR="002D23F8" w:rsidRPr="002D23F8" w14:paraId="2383F1E1" w14:textId="77777777" w:rsidTr="00AF7DDC">
        <w:trPr>
          <w:trHeight w:val="300"/>
        </w:trPr>
        <w:tc>
          <w:tcPr>
            <w:tcW w:w="65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B80D722" w14:textId="77777777" w:rsidR="002D23F8" w:rsidRPr="002D23F8" w:rsidRDefault="002D23F8" w:rsidP="002D23F8">
            <w:r w:rsidRPr="002D23F8">
              <w:rPr>
                <w:b/>
                <w:bCs/>
              </w:rPr>
              <w:t>DO</w:t>
            </w:r>
            <w:r w:rsidRPr="002D23F8">
              <w:t> conduct a </w:t>
            </w:r>
            <w:r w:rsidRPr="002D23F8">
              <w:rPr>
                <w:b/>
                <w:bCs/>
              </w:rPr>
              <w:t>Pre-Award Risk Assessment</w:t>
            </w:r>
            <w:r w:rsidRPr="002D23F8">
              <w:t>. Evaluate the entity’s financial systems and history with federal funds before signing the agreement.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8C9DF2F" w14:textId="77777777" w:rsidR="002D23F8" w:rsidRPr="002D23F8" w:rsidRDefault="002D23F8" w:rsidP="002D23F8">
            <w:r w:rsidRPr="002D23F8">
              <w:rPr>
                <w:b/>
                <w:bCs/>
              </w:rPr>
              <w:t>DON’T</w:t>
            </w:r>
            <w:r w:rsidRPr="002D23F8">
              <w:t> assume all districts are "low risk." Even established entities may have recent audit findings that require special conditions.</w:t>
            </w:r>
          </w:p>
        </w:tc>
      </w:tr>
      <w:tr w:rsidR="002D23F8" w:rsidRPr="002D23F8" w14:paraId="69733E23" w14:textId="77777777" w:rsidTr="00AF7DDC">
        <w:trPr>
          <w:trHeight w:val="300"/>
        </w:trPr>
        <w:tc>
          <w:tcPr>
            <w:tcW w:w="65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7E31C7B" w14:textId="77777777" w:rsidR="002D23F8" w:rsidRPr="002D23F8" w:rsidRDefault="002D23F8" w:rsidP="002D23F8">
            <w:r w:rsidRPr="002D23F8">
              <w:rPr>
                <w:b/>
                <w:bCs/>
              </w:rPr>
              <w:t>DO</w:t>
            </w:r>
            <w:r w:rsidRPr="002D23F8">
              <w:t> clearly define </w:t>
            </w:r>
            <w:r w:rsidRPr="002D23F8">
              <w:rPr>
                <w:b/>
                <w:bCs/>
              </w:rPr>
              <w:t>Performance Goals</w:t>
            </w:r>
            <w:r w:rsidRPr="002D23F8">
              <w:t> in the sub-award agreement. Tie the funding to specific outcomes, not just a timeline.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EC8690E" w14:textId="77777777" w:rsidR="002D23F8" w:rsidRPr="002D23F8" w:rsidRDefault="002D23F8" w:rsidP="002D23F8">
            <w:r w:rsidRPr="002D23F8">
              <w:rPr>
                <w:b/>
                <w:bCs/>
              </w:rPr>
              <w:t>DON’T</w:t>
            </w:r>
            <w:r w:rsidRPr="002D23F8">
              <w:t> issue "blank check" awards. Every dollar must be tied to the approved project narrative and budget.</w:t>
            </w:r>
          </w:p>
        </w:tc>
      </w:tr>
      <w:tr w:rsidR="002D23F8" w:rsidRPr="002D23F8" w14:paraId="24C30C88" w14:textId="77777777" w:rsidTr="00AF7DDC">
        <w:trPr>
          <w:trHeight w:val="300"/>
        </w:trPr>
        <w:tc>
          <w:tcPr>
            <w:tcW w:w="65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523AEE4" w14:textId="77777777" w:rsidR="002D23F8" w:rsidRPr="002D23F8" w:rsidRDefault="002D23F8" w:rsidP="002D23F8">
            <w:r w:rsidRPr="002D23F8">
              <w:rPr>
                <w:b/>
                <w:bCs/>
              </w:rPr>
              <w:t>DO</w:t>
            </w:r>
            <w:r w:rsidRPr="002D23F8">
              <w:t> verify </w:t>
            </w:r>
            <w:r w:rsidRPr="002D23F8">
              <w:rPr>
                <w:b/>
                <w:bCs/>
              </w:rPr>
              <w:t>Indirect Cost Rates</w:t>
            </w:r>
            <w:r w:rsidRPr="002D23F8">
              <w:t>. Ensure the sub-recipient has a federally negotiated rate or is using the 10% de minimis rate correctly.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4F92311" w14:textId="77777777" w:rsidR="002D23F8" w:rsidRPr="002D23F8" w:rsidRDefault="002D23F8" w:rsidP="002D23F8">
            <w:r w:rsidRPr="002D23F8">
              <w:rPr>
                <w:b/>
                <w:bCs/>
              </w:rPr>
              <w:t>DON’T</w:t>
            </w:r>
            <w:r w:rsidRPr="002D23F8">
              <w:t> allow a sub-recipient to charge an arbitrary administrative fee that hasn't been negotiated or approved.</w:t>
            </w:r>
          </w:p>
        </w:tc>
      </w:tr>
      <w:tr w:rsidR="002D23F8" w:rsidRPr="002D23F8" w14:paraId="415F0012" w14:textId="77777777" w:rsidTr="00AF7DDC">
        <w:trPr>
          <w:trHeight w:val="300"/>
        </w:trPr>
        <w:tc>
          <w:tcPr>
            <w:tcW w:w="65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9C49093" w14:textId="77777777" w:rsidR="002D23F8" w:rsidRPr="002D23F8" w:rsidRDefault="002D23F8" w:rsidP="002D23F8">
            <w:r w:rsidRPr="002D23F8">
              <w:rPr>
                <w:b/>
                <w:bCs/>
              </w:rPr>
              <w:t>DO</w:t>
            </w:r>
            <w:r w:rsidRPr="002D23F8">
              <w:t> perform </w:t>
            </w:r>
            <w:r w:rsidRPr="002D23F8">
              <w:rPr>
                <w:b/>
                <w:bCs/>
              </w:rPr>
              <w:t>Active Monitoring</w:t>
            </w:r>
            <w:r w:rsidRPr="002D23F8">
              <w:t>. Review their financial reports against their programmatic progress at least quarterly.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4EB4912" w14:textId="77777777" w:rsidR="002D23F8" w:rsidRPr="002D23F8" w:rsidRDefault="002D23F8" w:rsidP="002D23F8">
            <w:r w:rsidRPr="002D23F8">
              <w:rPr>
                <w:b/>
                <w:bCs/>
              </w:rPr>
              <w:t>DON’T</w:t>
            </w:r>
            <w:r w:rsidRPr="002D23F8">
              <w:t> wait until the end of the grant year to check in. Recovering misspent funds from a sub-recipient is extremely difficult.</w:t>
            </w:r>
          </w:p>
        </w:tc>
      </w:tr>
    </w:tbl>
    <w:p w14:paraId="749285C8" w14:textId="77777777" w:rsidR="002D23F8" w:rsidRPr="002D23F8" w:rsidRDefault="00362C07" w:rsidP="002D23F8">
      <w:r>
        <w:pict w14:anchorId="0251A5FD">
          <v:rect id="_x0000_i1031" style="width:0;height:1.5pt" o:hralign="center" o:hrstd="t" o:hr="t" fillcolor="#a0a0a0" stroked="f"/>
        </w:pict>
      </w:r>
    </w:p>
    <w:p w14:paraId="3423424B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Part 2: Contracts (Purchasing Goods or Services)</w:t>
      </w:r>
    </w:p>
    <w:p w14:paraId="47B2FBCE" w14:textId="77777777" w:rsidR="002D23F8" w:rsidRPr="002D23F8" w:rsidRDefault="002D23F8" w:rsidP="002D23F8">
      <w:r w:rsidRPr="002D23F8">
        <w:rPr>
          <w:i/>
          <w:iCs/>
        </w:rPr>
        <w:t>Contracts are used when you are purchasing a product or service from a vendor (e.g., an external evaluator, software, or specialized training).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0"/>
        <w:gridCol w:w="3900"/>
      </w:tblGrid>
      <w:tr w:rsidR="002D23F8" w:rsidRPr="002D23F8" w14:paraId="167EC772" w14:textId="77777777" w:rsidTr="00AF7DDC">
        <w:trPr>
          <w:trHeight w:val="300"/>
          <w:tblHeader/>
        </w:trPr>
        <w:tc>
          <w:tcPr>
            <w:tcW w:w="648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872EF65" w14:textId="77777777" w:rsidR="002D23F8" w:rsidRPr="002D23F8" w:rsidRDefault="002D23F8" w:rsidP="002D23F8">
            <w:r w:rsidRPr="002D23F8">
              <w:rPr>
                <w:b/>
                <w:bCs/>
              </w:rPr>
              <w:t>Do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C56BC33" w14:textId="77777777" w:rsidR="002D23F8" w:rsidRPr="002D23F8" w:rsidRDefault="002D23F8" w:rsidP="002D23F8">
            <w:r w:rsidRPr="002D23F8">
              <w:rPr>
                <w:b/>
                <w:bCs/>
              </w:rPr>
              <w:t>Don’t</w:t>
            </w:r>
          </w:p>
        </w:tc>
      </w:tr>
      <w:tr w:rsidR="002D23F8" w:rsidRPr="002D23F8" w14:paraId="079A6788" w14:textId="77777777" w:rsidTr="00AF7DDC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8B62EDE" w14:textId="77777777" w:rsidR="002D23F8" w:rsidRPr="002D23F8" w:rsidRDefault="002D23F8" w:rsidP="002D23F8">
            <w:r w:rsidRPr="002D23F8">
              <w:rPr>
                <w:b/>
                <w:bCs/>
              </w:rPr>
              <w:t>DO</w:t>
            </w:r>
            <w:r w:rsidRPr="002D23F8">
              <w:t> maintain </w:t>
            </w:r>
            <w:r w:rsidRPr="002D23F8">
              <w:rPr>
                <w:b/>
                <w:bCs/>
              </w:rPr>
              <w:t>Full and Open Competition</w:t>
            </w:r>
            <w:r w:rsidRPr="002D23F8">
              <w:t>. Ensure your Request for Proposals (RFP) is public and provides a level playing field for all vendors.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030B4F2" w14:textId="77777777" w:rsidR="002D23F8" w:rsidRPr="002D23F8" w:rsidRDefault="002D23F8" w:rsidP="002D23F8">
            <w:r w:rsidRPr="002D23F8">
              <w:rPr>
                <w:b/>
                <w:bCs/>
              </w:rPr>
              <w:t>DON’T</w:t>
            </w:r>
            <w:r w:rsidRPr="002D23F8">
              <w:t> engage in "Sole Sourcing" unless it meets the very narrow federal exceptions (e.g., public exigency or a unique provider).</w:t>
            </w:r>
          </w:p>
        </w:tc>
      </w:tr>
      <w:tr w:rsidR="002D23F8" w:rsidRPr="002D23F8" w14:paraId="2D4DE567" w14:textId="77777777" w:rsidTr="00AF7DDC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982880D" w14:textId="77777777" w:rsidR="002D23F8" w:rsidRPr="002D23F8" w:rsidRDefault="002D23F8" w:rsidP="002D23F8">
            <w:r w:rsidRPr="002D23F8">
              <w:rPr>
                <w:b/>
                <w:bCs/>
              </w:rPr>
              <w:t>DO</w:t>
            </w:r>
            <w:r w:rsidRPr="002D23F8">
              <w:t> perform an </w:t>
            </w:r>
            <w:r w:rsidRPr="002D23F8">
              <w:rPr>
                <w:b/>
                <w:bCs/>
              </w:rPr>
              <w:t>Independent Cost Estimate</w:t>
            </w:r>
            <w:r w:rsidRPr="002D23F8">
              <w:t> before receiving bids. You must have a sense of what the service </w:t>
            </w:r>
            <w:r w:rsidRPr="002D23F8">
              <w:rPr>
                <w:i/>
                <w:iCs/>
              </w:rPr>
              <w:t>should</w:t>
            </w:r>
            <w:r w:rsidRPr="002D23F8">
              <w:t> cost to determine if bids are "reasonable."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FAA24AE" w14:textId="77777777" w:rsidR="002D23F8" w:rsidRPr="002D23F8" w:rsidRDefault="002D23F8" w:rsidP="002D23F8">
            <w:r w:rsidRPr="002D23F8">
              <w:rPr>
                <w:b/>
                <w:bCs/>
              </w:rPr>
              <w:t>DON’T</w:t>
            </w:r>
            <w:r w:rsidRPr="002D23F8">
              <w:t> accept a vendor's price just because it fits within your budget. You must still demonstrate that the price is "reasonable" for the market.</w:t>
            </w:r>
          </w:p>
        </w:tc>
      </w:tr>
      <w:tr w:rsidR="002D23F8" w:rsidRPr="002D23F8" w14:paraId="623CCE08" w14:textId="77777777" w:rsidTr="00AF7DDC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066711E" w14:textId="77777777" w:rsidR="002D23F8" w:rsidRPr="002D23F8" w:rsidRDefault="002D23F8" w:rsidP="002D23F8">
            <w:r w:rsidRPr="002D23F8">
              <w:rPr>
                <w:b/>
                <w:bCs/>
              </w:rPr>
              <w:t>DO</w:t>
            </w:r>
            <w:r w:rsidRPr="002D23F8">
              <w:t> check the </w:t>
            </w:r>
            <w:r w:rsidRPr="002D23F8">
              <w:rPr>
                <w:b/>
                <w:bCs/>
              </w:rPr>
              <w:t>System for Award Management (SAM.gov)</w:t>
            </w:r>
            <w:r w:rsidRPr="002D23F8">
              <w:t>. You must verify that a contractor has not been debarred or suspended from receiving federal funds.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50E576E" w14:textId="77777777" w:rsidR="002D23F8" w:rsidRPr="002D23F8" w:rsidRDefault="002D23F8" w:rsidP="002D23F8">
            <w:r w:rsidRPr="002D23F8">
              <w:rPr>
                <w:b/>
                <w:bCs/>
              </w:rPr>
              <w:t>DON’T</w:t>
            </w:r>
            <w:r w:rsidRPr="002D23F8">
              <w:t> sign a contract with any entity that is excluded from federal procurement. This is a major audit "red flag."</w:t>
            </w:r>
          </w:p>
        </w:tc>
      </w:tr>
      <w:tr w:rsidR="002D23F8" w:rsidRPr="002D23F8" w14:paraId="7823B984" w14:textId="77777777" w:rsidTr="00AF7DDC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51B8F627" w14:textId="77777777" w:rsidR="002D23F8" w:rsidRPr="002D23F8" w:rsidRDefault="002D23F8" w:rsidP="002D23F8">
            <w:r w:rsidRPr="002D23F8">
              <w:rPr>
                <w:b/>
                <w:bCs/>
              </w:rPr>
              <w:t>DO</w:t>
            </w:r>
            <w:r w:rsidRPr="002D23F8">
              <w:t> keep a </w:t>
            </w:r>
            <w:r w:rsidRPr="002D23F8">
              <w:rPr>
                <w:b/>
                <w:bCs/>
              </w:rPr>
              <w:t>Detailed Procurement File</w:t>
            </w:r>
            <w:r w:rsidRPr="002D23F8">
              <w:t>. Document every step: the RFP, the evaluation of bids, the rationale for selection, and the final contract.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FC80990" w14:textId="77777777" w:rsidR="002D23F8" w:rsidRPr="002D23F8" w:rsidRDefault="002D23F8" w:rsidP="002D23F8">
            <w:r w:rsidRPr="002D23F8">
              <w:rPr>
                <w:b/>
                <w:bCs/>
              </w:rPr>
              <w:t>DON’T</w:t>
            </w:r>
            <w:r w:rsidRPr="002D23F8">
              <w:t> rely on verbal agreements or informal quotes for high-dollar purchases. If it isn't documented in the file, it didn't happen.</w:t>
            </w:r>
          </w:p>
        </w:tc>
      </w:tr>
    </w:tbl>
    <w:p w14:paraId="0D9105DA" w14:textId="77777777" w:rsidR="002D23F8" w:rsidRPr="002D23F8" w:rsidRDefault="00362C07" w:rsidP="002D23F8">
      <w:r>
        <w:pict w14:anchorId="11599B47">
          <v:rect id="_x0000_i1032" style="width:0;height:1.5pt" o:hralign="center" o:hrstd="t" o:hr="t" fillcolor="#a0a0a0" stroked="f"/>
        </w:pict>
      </w:r>
    </w:p>
    <w:p w14:paraId="0F9A2A48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Part 3: The "Gray Area" (Sub-Award vs. Contract)</w:t>
      </w:r>
    </w:p>
    <w:p w14:paraId="2854B478" w14:textId="77777777" w:rsidR="002D23F8" w:rsidRPr="002D23F8" w:rsidRDefault="002D23F8" w:rsidP="002D23F8">
      <w:r w:rsidRPr="002D23F8">
        <w:t>One of the most common mistakes for new Directors is misclassifying a relationship.</w:t>
      </w:r>
    </w:p>
    <w:p w14:paraId="549C2ECB" w14:textId="77777777" w:rsidR="002D23F8" w:rsidRPr="002D23F8" w:rsidRDefault="002D23F8" w:rsidP="002D23F8">
      <w:pPr>
        <w:numPr>
          <w:ilvl w:val="0"/>
          <w:numId w:val="9"/>
        </w:numPr>
      </w:pPr>
      <w:r w:rsidRPr="002D23F8">
        <w:rPr>
          <w:b/>
          <w:bCs/>
        </w:rPr>
        <w:t>It is likely a Sub-Award if:</w:t>
      </w:r>
      <w:r w:rsidRPr="002D23F8">
        <w:t xml:space="preserve"> The entity has its performance measured against federal objectives and has responsibility for programmatic decision-making.</w:t>
      </w:r>
    </w:p>
    <w:p w14:paraId="06BBFB5D" w14:textId="77777777" w:rsidR="002D23F8" w:rsidRPr="002D23F8" w:rsidRDefault="002D23F8" w:rsidP="002D23F8">
      <w:pPr>
        <w:numPr>
          <w:ilvl w:val="0"/>
          <w:numId w:val="9"/>
        </w:numPr>
      </w:pPr>
      <w:r w:rsidRPr="002D23F8">
        <w:rPr>
          <w:b/>
          <w:bCs/>
        </w:rPr>
        <w:t>It is likely a Contract if:</w:t>
      </w:r>
      <w:r w:rsidRPr="002D23F8">
        <w:t xml:space="preserve"> The entity provides similar goods or services to many different purchasers and operates in a competitive environment.</w:t>
      </w:r>
    </w:p>
    <w:p w14:paraId="2BAEB629" w14:textId="6CEB7F9E" w:rsidR="00E61B33" w:rsidRPr="00DA396C" w:rsidRDefault="002D23F8" w:rsidP="002D23F8">
      <w:r w:rsidRPr="002D23F8">
        <w:rPr>
          <w:b/>
          <w:bCs/>
        </w:rPr>
        <w:t>Pro-Tip:</w:t>
      </w:r>
      <w:r w:rsidRPr="002D23F8">
        <w:t xml:space="preserve"> If you are unsure, consult your SEA’s legal or grants office. A misclassification can lead to incorrect reporting and issues during a federal monitoring visit.</w:t>
      </w:r>
    </w:p>
    <w:p w14:paraId="3F7411EF" w14:textId="2AEEF160" w:rsidR="002D23F8" w:rsidRPr="002D23F8" w:rsidRDefault="002D23F8" w:rsidP="002D23F8">
      <w:r w:rsidRPr="002D23F8">
        <w:t xml:space="preserve">Working with a State Education Agency (SEA) budget office requires a "trust but verify" approach. While the budget office handles the mechanics of the money, </w:t>
      </w:r>
      <w:r w:rsidRPr="002D23F8">
        <w:rPr>
          <w:b/>
          <w:bCs/>
        </w:rPr>
        <w:t>you</w:t>
      </w:r>
      <w:r w:rsidRPr="002D23F8">
        <w:t xml:space="preserve"> are ultimately responsible for ensuring the spending aligns with the federal grant narrative.</w:t>
      </w:r>
    </w:p>
    <w:p w14:paraId="62E0D9E9" w14:textId="77777777" w:rsidR="002D23F8" w:rsidRPr="002D23F8" w:rsidRDefault="002D23F8" w:rsidP="002D23F8">
      <w:r w:rsidRPr="002D23F8">
        <w:t>Here is a checklist to help you establish a seamless partnership with your fiscal agent.</w:t>
      </w:r>
    </w:p>
    <w:p w14:paraId="6714A28C" w14:textId="77777777" w:rsidR="002D23F8" w:rsidRPr="002D23F8" w:rsidRDefault="00362C07" w:rsidP="002D23F8">
      <w:r>
        <w:pict w14:anchorId="35A6A765">
          <v:rect id="_x0000_i1033" style="width:0;height:1.5pt" o:hralign="center" o:hrstd="t" o:hr="t" fillcolor="#a0a0a0" stroked="f"/>
        </w:pict>
      </w:r>
    </w:p>
    <w:p w14:paraId="1DACCC13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Phase 1: The Internal "Handshake" (First 30 Days)</w:t>
      </w:r>
    </w:p>
    <w:p w14:paraId="091DA802" w14:textId="77777777" w:rsidR="002D23F8" w:rsidRPr="002D23F8" w:rsidRDefault="002D23F8" w:rsidP="002D23F8">
      <w:r w:rsidRPr="002D23F8">
        <w:rPr>
          <w:i/>
          <w:iCs/>
        </w:rPr>
        <w:t>Before spending begins, ensure you and your fiscal liaison are reading the same map.</w:t>
      </w:r>
    </w:p>
    <w:p w14:paraId="51C3038E" w14:textId="77777777" w:rsidR="002D23F8" w:rsidRPr="002D23F8" w:rsidRDefault="002D23F8" w:rsidP="002D23F8">
      <w:pPr>
        <w:numPr>
          <w:ilvl w:val="0"/>
          <w:numId w:val="10"/>
        </w:numPr>
      </w:pPr>
      <w:r w:rsidRPr="002D23F8">
        <w:t xml:space="preserve">[ ] </w:t>
      </w:r>
      <w:r w:rsidRPr="002D23F8">
        <w:rPr>
          <w:b/>
          <w:bCs/>
        </w:rPr>
        <w:t>Review the Grant Award Notification (GAN):</w:t>
      </w:r>
      <w:r w:rsidRPr="002D23F8">
        <w:t xml:space="preserve"> Meet with your fiscal lead to highlight "Special Conditions" or restricted codes (e.g., "Funds cannot be used for food" or "Construction is prohibited").</w:t>
      </w:r>
    </w:p>
    <w:p w14:paraId="416C4C95" w14:textId="77777777" w:rsidR="002D23F8" w:rsidRPr="002D23F8" w:rsidRDefault="002D23F8" w:rsidP="002D23F8">
      <w:pPr>
        <w:numPr>
          <w:ilvl w:val="0"/>
          <w:numId w:val="10"/>
        </w:numPr>
      </w:pPr>
      <w:r w:rsidRPr="002D23F8">
        <w:t xml:space="preserve">[ ] </w:t>
      </w:r>
      <w:r w:rsidRPr="002D23F8">
        <w:rPr>
          <w:b/>
          <w:bCs/>
        </w:rPr>
        <w:t>Map the Chart of Accounts:</w:t>
      </w:r>
      <w:r w:rsidRPr="002D23F8">
        <w:t xml:space="preserve"> Ensure the federal budget categories (Personnel, Travel, etc.) match the state’s internal accounting codes.</w:t>
      </w:r>
    </w:p>
    <w:p w14:paraId="72C2BC7A" w14:textId="77777777" w:rsidR="002D23F8" w:rsidRPr="002D23F8" w:rsidRDefault="002D23F8" w:rsidP="002D23F8">
      <w:pPr>
        <w:numPr>
          <w:ilvl w:val="0"/>
          <w:numId w:val="10"/>
        </w:numPr>
      </w:pPr>
      <w:r w:rsidRPr="002D23F8">
        <w:t xml:space="preserve">[ ] </w:t>
      </w:r>
      <w:r w:rsidRPr="002D23F8">
        <w:rPr>
          <w:b/>
          <w:bCs/>
        </w:rPr>
        <w:t>Confirm Drawing Procedures:</w:t>
      </w:r>
      <w:r w:rsidRPr="002D23F8">
        <w:t xml:space="preserve"> Understand how the SEA "draws down" federal cash. Is it on a reimbursement basis or an advanced schedule?</w:t>
      </w:r>
    </w:p>
    <w:p w14:paraId="33C5980C" w14:textId="77777777" w:rsidR="002D23F8" w:rsidRPr="002D23F8" w:rsidRDefault="002D23F8" w:rsidP="002D23F8">
      <w:pPr>
        <w:numPr>
          <w:ilvl w:val="0"/>
          <w:numId w:val="10"/>
        </w:numPr>
      </w:pPr>
      <w:r w:rsidRPr="002D23F8">
        <w:t xml:space="preserve">[ ] </w:t>
      </w:r>
      <w:r w:rsidRPr="002D23F8">
        <w:rPr>
          <w:b/>
          <w:bCs/>
        </w:rPr>
        <w:t>Establish "Sign-off" Authority:</w:t>
      </w:r>
      <w:r w:rsidRPr="002D23F8">
        <w:t xml:space="preserve"> Explicitly define who has the power to approve an invoice. (e.g., Can a Program Manager sign, or must it be the Director?)</w:t>
      </w:r>
    </w:p>
    <w:p w14:paraId="3E66C46C" w14:textId="77777777" w:rsidR="002D23F8" w:rsidRPr="002D23F8" w:rsidRDefault="00362C07" w:rsidP="002D23F8">
      <w:r>
        <w:pict w14:anchorId="5570ABCD">
          <v:rect id="_x0000_i1034" style="width:0;height:1.5pt" o:hralign="center" o:hrstd="t" o:hr="t" fillcolor="#a0a0a0" stroked="f"/>
        </w:pict>
      </w:r>
    </w:p>
    <w:p w14:paraId="078A48B1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Phase 2: Monthly Maintenance &amp; Reconciliation</w:t>
      </w:r>
    </w:p>
    <w:p w14:paraId="5F135F87" w14:textId="77777777" w:rsidR="002D23F8" w:rsidRPr="002D23F8" w:rsidRDefault="002D23F8" w:rsidP="002D23F8">
      <w:r w:rsidRPr="002D23F8">
        <w:rPr>
          <w:i/>
          <w:iCs/>
        </w:rPr>
        <w:t>The most common pitfall is a "lag" between programmatic activity and fiscal recording.</w:t>
      </w:r>
    </w:p>
    <w:p w14:paraId="0544A4D9" w14:textId="77777777" w:rsidR="002D23F8" w:rsidRPr="002D23F8" w:rsidRDefault="002D23F8" w:rsidP="002D23F8">
      <w:pPr>
        <w:numPr>
          <w:ilvl w:val="0"/>
          <w:numId w:val="11"/>
        </w:numPr>
      </w:pPr>
      <w:r w:rsidRPr="002D23F8">
        <w:t xml:space="preserve">[ ] </w:t>
      </w:r>
      <w:r w:rsidRPr="002D23F8">
        <w:rPr>
          <w:b/>
          <w:bCs/>
        </w:rPr>
        <w:t>Monthly Reconciliation:</w:t>
      </w:r>
      <w:r w:rsidRPr="002D23F8">
        <w:t xml:space="preserve"> Compare your internal tracking (what you </w:t>
      </w:r>
      <w:r w:rsidRPr="002D23F8">
        <w:rPr>
          <w:i/>
          <w:iCs/>
        </w:rPr>
        <w:t>think</w:t>
      </w:r>
      <w:r w:rsidRPr="002D23F8">
        <w:t xml:space="preserve"> you spent) against the official state ledger. Address any discrepancies immediately.</w:t>
      </w:r>
    </w:p>
    <w:p w14:paraId="3574D467" w14:textId="77777777" w:rsidR="002D23F8" w:rsidRPr="002D23F8" w:rsidRDefault="002D23F8" w:rsidP="002D23F8">
      <w:pPr>
        <w:numPr>
          <w:ilvl w:val="0"/>
          <w:numId w:val="11"/>
        </w:numPr>
      </w:pPr>
      <w:r w:rsidRPr="002D23F8">
        <w:t xml:space="preserve">[ ] </w:t>
      </w:r>
      <w:r w:rsidRPr="002D23F8">
        <w:rPr>
          <w:b/>
          <w:bCs/>
        </w:rPr>
        <w:t>Burn Rate Analysis:</w:t>
      </w:r>
      <w:r w:rsidRPr="002D23F8">
        <w:t xml:space="preserve"> Are you 50% through the year but only 10% through the budget? Discuss "underspending" early so you can request a budget amendment if needed.</w:t>
      </w:r>
    </w:p>
    <w:p w14:paraId="5E053667" w14:textId="77777777" w:rsidR="002D23F8" w:rsidRPr="002D23F8" w:rsidRDefault="002D23F8" w:rsidP="002D23F8">
      <w:pPr>
        <w:numPr>
          <w:ilvl w:val="0"/>
          <w:numId w:val="11"/>
        </w:numPr>
      </w:pPr>
      <w:r w:rsidRPr="002D23F8">
        <w:t xml:space="preserve">[ ] </w:t>
      </w:r>
      <w:r w:rsidRPr="002D23F8">
        <w:rPr>
          <w:b/>
          <w:bCs/>
        </w:rPr>
        <w:t>Obligation Tracking:</w:t>
      </w:r>
      <w:r w:rsidRPr="002D23F8">
        <w:t xml:space="preserve"> Ensure the fiscal office tracks "obligations" (money committed via contract) and not just "liquidations" (money already paid out).</w:t>
      </w:r>
    </w:p>
    <w:p w14:paraId="0904F619" w14:textId="77777777" w:rsidR="002D23F8" w:rsidRPr="002D23F8" w:rsidRDefault="002D23F8" w:rsidP="002D23F8">
      <w:pPr>
        <w:numPr>
          <w:ilvl w:val="0"/>
          <w:numId w:val="11"/>
        </w:numPr>
      </w:pPr>
      <w:r w:rsidRPr="002D23F8">
        <w:t xml:space="preserve">[ ] </w:t>
      </w:r>
      <w:r w:rsidRPr="002D23F8">
        <w:rPr>
          <w:b/>
          <w:bCs/>
        </w:rPr>
        <w:t>Check Indirect Cost Charges:</w:t>
      </w:r>
      <w:r w:rsidRPr="002D23F8">
        <w:t xml:space="preserve"> Verify that the state is pulling the correct negotiated indirect cost rate and not over-charging the grant.</w:t>
      </w:r>
    </w:p>
    <w:p w14:paraId="1E61C70B" w14:textId="77777777" w:rsidR="002D23F8" w:rsidRPr="002D23F8" w:rsidRDefault="00362C07" w:rsidP="002D23F8">
      <w:r>
        <w:pict w14:anchorId="5E7BB6B4">
          <v:rect id="_x0000_i1035" style="width:0;height:1.5pt" o:hralign="center" o:hrstd="t" o:hr="t" fillcolor="#a0a0a0" stroked="f"/>
        </w:pict>
      </w:r>
    </w:p>
    <w:p w14:paraId="281DC00C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Phase 3: Personnel &amp; Time Tracking</w:t>
      </w:r>
    </w:p>
    <w:p w14:paraId="185D580A" w14:textId="77777777" w:rsidR="002D23F8" w:rsidRPr="002D23F8" w:rsidRDefault="002D23F8" w:rsidP="002D23F8">
      <w:r w:rsidRPr="002D23F8">
        <w:rPr>
          <w:i/>
          <w:iCs/>
        </w:rPr>
        <w:t>Personnel is usually the largest budget line and the most scrutinized in federal audits.</w:t>
      </w:r>
    </w:p>
    <w:p w14:paraId="50073CA4" w14:textId="77777777" w:rsidR="002D23F8" w:rsidRPr="002D23F8" w:rsidRDefault="002D23F8" w:rsidP="002D23F8">
      <w:pPr>
        <w:numPr>
          <w:ilvl w:val="0"/>
          <w:numId w:val="12"/>
        </w:numPr>
      </w:pPr>
      <w:r w:rsidRPr="002D23F8">
        <w:t xml:space="preserve">[ ] </w:t>
      </w:r>
      <w:r w:rsidRPr="002D23F8">
        <w:rPr>
          <w:b/>
          <w:bCs/>
        </w:rPr>
        <w:t>Verify "Time and Effort" Logs:</w:t>
      </w:r>
      <w:r w:rsidRPr="002D23F8">
        <w:t xml:space="preserve"> Ensure any staff member funded by the grant (even partially) is completing their certifications or Personnel Activity Reports (PARs).</w:t>
      </w:r>
    </w:p>
    <w:p w14:paraId="40AE4495" w14:textId="77777777" w:rsidR="002D23F8" w:rsidRPr="002D23F8" w:rsidRDefault="002D23F8" w:rsidP="002D23F8">
      <w:pPr>
        <w:numPr>
          <w:ilvl w:val="0"/>
          <w:numId w:val="12"/>
        </w:numPr>
      </w:pPr>
      <w:r w:rsidRPr="002D23F8">
        <w:t xml:space="preserve">[ ] </w:t>
      </w:r>
      <w:r w:rsidRPr="002D23F8">
        <w:rPr>
          <w:b/>
          <w:bCs/>
        </w:rPr>
        <w:t>Fringe Benefit Check:</w:t>
      </w:r>
      <w:r w:rsidRPr="002D23F8">
        <w:t xml:space="preserve"> Confirm that fringe benefits (health, retirement) are being charged proportionally to the salary percentage covered by the grant.</w:t>
      </w:r>
    </w:p>
    <w:p w14:paraId="7889DC45" w14:textId="77777777" w:rsidR="002D23F8" w:rsidRPr="002D23F8" w:rsidRDefault="002D23F8" w:rsidP="002D23F8">
      <w:pPr>
        <w:numPr>
          <w:ilvl w:val="0"/>
          <w:numId w:val="12"/>
        </w:numPr>
      </w:pPr>
      <w:r w:rsidRPr="002D23F8">
        <w:t xml:space="preserve">[ ] </w:t>
      </w:r>
      <w:r w:rsidRPr="002D23F8">
        <w:rPr>
          <w:b/>
          <w:bCs/>
        </w:rPr>
        <w:t>Position Control:</w:t>
      </w:r>
      <w:r w:rsidRPr="002D23F8">
        <w:t xml:space="preserve"> If a staff member leaves, notify the budget office immediately to "freeze" that line so funds aren't accidentally pulled for a different department.</w:t>
      </w:r>
    </w:p>
    <w:p w14:paraId="5BD44298" w14:textId="77777777" w:rsidR="002D23F8" w:rsidRPr="002D23F8" w:rsidRDefault="00362C07" w:rsidP="002D23F8">
      <w:r>
        <w:pict w14:anchorId="4B1D126C">
          <v:rect id="_x0000_i1036" style="width:0;height:1.5pt" o:hralign="center" o:hrstd="t" o:hr="t" fillcolor="#a0a0a0" stroked="f"/>
        </w:pict>
      </w:r>
    </w:p>
    <w:p w14:paraId="790BA10D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Phase 4: Procurement &amp; Vendor Payments</w:t>
      </w:r>
    </w:p>
    <w:p w14:paraId="4E2E55C6" w14:textId="77777777" w:rsidR="002D23F8" w:rsidRPr="002D23F8" w:rsidRDefault="002D23F8" w:rsidP="002D23F8">
      <w:r w:rsidRPr="002D23F8">
        <w:rPr>
          <w:i/>
          <w:iCs/>
        </w:rPr>
        <w:t>Fiscal agents often act as the gatekeepers for contracts.</w:t>
      </w:r>
    </w:p>
    <w:p w14:paraId="629D760D" w14:textId="77777777" w:rsidR="002D23F8" w:rsidRPr="002D23F8" w:rsidRDefault="002D23F8" w:rsidP="002D23F8">
      <w:pPr>
        <w:numPr>
          <w:ilvl w:val="0"/>
          <w:numId w:val="13"/>
        </w:numPr>
      </w:pPr>
      <w:r w:rsidRPr="002D23F8">
        <w:t xml:space="preserve">[ ] </w:t>
      </w:r>
      <w:r w:rsidRPr="002D23F8">
        <w:rPr>
          <w:b/>
          <w:bCs/>
        </w:rPr>
        <w:t>Pre-Encumbrance Check:</w:t>
      </w:r>
      <w:r w:rsidRPr="002D23F8">
        <w:t xml:space="preserve"> Before signing a contract, have the budget office confirm that the specific "pot" of money has enough uncommitted funds.</w:t>
      </w:r>
    </w:p>
    <w:p w14:paraId="4DC6CADB" w14:textId="77777777" w:rsidR="002D23F8" w:rsidRPr="002D23F8" w:rsidRDefault="002D23F8" w:rsidP="002D23F8">
      <w:pPr>
        <w:numPr>
          <w:ilvl w:val="0"/>
          <w:numId w:val="13"/>
        </w:numPr>
      </w:pPr>
      <w:r w:rsidRPr="002D23F8">
        <w:t xml:space="preserve">[ ] </w:t>
      </w:r>
      <w:r w:rsidRPr="002D23F8">
        <w:rPr>
          <w:b/>
          <w:bCs/>
        </w:rPr>
        <w:t>Vendor Setup:</w:t>
      </w:r>
      <w:r w:rsidRPr="002D23F8">
        <w:t xml:space="preserve"> Confirm that new vendors or sub-grantees are correctly set up in the state’s financial system with a valid </w:t>
      </w:r>
      <w:r w:rsidRPr="002D23F8">
        <w:rPr>
          <w:b/>
          <w:bCs/>
        </w:rPr>
        <w:t>UEI (Unique Entity Identifier)</w:t>
      </w:r>
      <w:r w:rsidRPr="002D23F8">
        <w:t>.</w:t>
      </w:r>
    </w:p>
    <w:p w14:paraId="5E61103E" w14:textId="77777777" w:rsidR="002D23F8" w:rsidRPr="002D23F8" w:rsidRDefault="002D23F8" w:rsidP="002D23F8">
      <w:pPr>
        <w:numPr>
          <w:ilvl w:val="0"/>
          <w:numId w:val="13"/>
        </w:numPr>
      </w:pPr>
      <w:r w:rsidRPr="002D23F8">
        <w:t xml:space="preserve">[ ] </w:t>
      </w:r>
      <w:r w:rsidRPr="002D23F8">
        <w:rPr>
          <w:b/>
          <w:bCs/>
        </w:rPr>
        <w:t>Invoice Verification:</w:t>
      </w:r>
      <w:r w:rsidRPr="002D23F8">
        <w:t xml:space="preserve"> Never allow the fiscal office to pay an invoice without your programmatic "OK" that the work was actually completed.</w:t>
      </w:r>
    </w:p>
    <w:p w14:paraId="4CB90ED0" w14:textId="77777777" w:rsidR="002D23F8" w:rsidRPr="002D23F8" w:rsidRDefault="00362C07" w:rsidP="002D23F8">
      <w:r>
        <w:pict w14:anchorId="35589CD1">
          <v:rect id="_x0000_i1037" style="width:0;height:1.5pt" o:hralign="center" o:hrstd="t" o:hr="t" fillcolor="#a0a0a0" stroked="f"/>
        </w:pict>
      </w:r>
    </w:p>
    <w:p w14:paraId="727A17CD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Phase 5: The "Red Flag" Warning System</w:t>
      </w:r>
    </w:p>
    <w:p w14:paraId="50F0164C" w14:textId="77777777" w:rsidR="002D23F8" w:rsidRPr="002D23F8" w:rsidRDefault="002D23F8" w:rsidP="002D23F8">
      <w:r w:rsidRPr="002D23F8">
        <w:rPr>
          <w:i/>
          <w:iCs/>
        </w:rPr>
        <w:t>Set up a system for the budget office to alert you if:</w:t>
      </w:r>
    </w:p>
    <w:p w14:paraId="25944125" w14:textId="77777777" w:rsidR="002D23F8" w:rsidRPr="002D23F8" w:rsidRDefault="002D23F8" w:rsidP="002D23F8">
      <w:pPr>
        <w:numPr>
          <w:ilvl w:val="0"/>
          <w:numId w:val="14"/>
        </w:numPr>
      </w:pPr>
      <w:r w:rsidRPr="002D23F8">
        <w:t>[ ] A sub-grantee hasn't requested a reimbursement in over 90 days.</w:t>
      </w:r>
    </w:p>
    <w:p w14:paraId="4393F29F" w14:textId="77777777" w:rsidR="002D23F8" w:rsidRPr="002D23F8" w:rsidRDefault="002D23F8" w:rsidP="002D23F8">
      <w:pPr>
        <w:numPr>
          <w:ilvl w:val="0"/>
          <w:numId w:val="14"/>
        </w:numPr>
      </w:pPr>
      <w:r w:rsidRPr="002D23F8">
        <w:t>[ ] An expense is flagged as "unallowable" by a state auditor.</w:t>
      </w:r>
    </w:p>
    <w:p w14:paraId="1DCF90DC" w14:textId="77777777" w:rsidR="002D23F8" w:rsidRPr="002D23F8" w:rsidRDefault="002D23F8" w:rsidP="002D23F8">
      <w:pPr>
        <w:numPr>
          <w:ilvl w:val="0"/>
          <w:numId w:val="14"/>
        </w:numPr>
      </w:pPr>
      <w:r w:rsidRPr="002D23F8">
        <w:t>[ ] The grant's "Period of Performance" is within 60 days of closing.</w:t>
      </w:r>
    </w:p>
    <w:p w14:paraId="3EF50C42" w14:textId="77777777" w:rsidR="002D23F8" w:rsidRPr="002D23F8" w:rsidRDefault="00362C07" w:rsidP="002D23F8">
      <w:r>
        <w:pict w14:anchorId="2384C0C4">
          <v:rect id="_x0000_i1038" style="width:0;height:1.5pt" o:hralign="center" o:hrstd="t" o:hr="t" fillcolor="#a0a0a0" stroked="f"/>
        </w:pict>
      </w:r>
    </w:p>
    <w:p w14:paraId="59E40CA0" w14:textId="77777777" w:rsidR="002D23F8" w:rsidRPr="002D23F8" w:rsidRDefault="002D23F8" w:rsidP="002D23F8">
      <w:r w:rsidRPr="002D23F8">
        <w:rPr>
          <w:b/>
          <w:bCs/>
        </w:rPr>
        <w:t>The Golden Rule for SEA Directors:</w:t>
      </w:r>
      <w:r w:rsidRPr="002D23F8">
        <w:t xml:space="preserve"> Your budget office lives in spreadsheets; you live in the grant narrative. Your job is to translate the two. If you see a number that doesn't make sense, ask for the "Object Class Code" breakdown immediately.</w:t>
      </w:r>
    </w:p>
    <w:p w14:paraId="6F3D57F5" w14:textId="77777777" w:rsidR="002D23F8" w:rsidRPr="002D23F8" w:rsidRDefault="00362C07" w:rsidP="002D23F8">
      <w:r>
        <w:pict w14:anchorId="36E3D394">
          <v:rect id="_x0000_i1039" style="width:0;height:1.5pt" o:hralign="center" o:hrstd="t" o:hr="t" fillcolor="#a0a0a0" stroked="f"/>
        </w:pict>
      </w:r>
    </w:p>
    <w:p w14:paraId="1F6442A0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Monthly Fiscal-Programmatic Alignment Meeting</w:t>
      </w:r>
    </w:p>
    <w:p w14:paraId="645CA7E6" w14:textId="77777777" w:rsidR="002D23F8" w:rsidRPr="002D23F8" w:rsidRDefault="002D23F8" w:rsidP="002D23F8">
      <w:r w:rsidRPr="002D23F8">
        <w:rPr>
          <w:b/>
          <w:bCs/>
        </w:rPr>
        <w:t>Date:</w:t>
      </w:r>
      <w:r w:rsidRPr="002D23F8">
        <w:t xml:space="preserve"> [Insert Date]</w:t>
      </w:r>
    </w:p>
    <w:p w14:paraId="51A21019" w14:textId="77777777" w:rsidR="002D23F8" w:rsidRPr="002D23F8" w:rsidRDefault="002D23F8" w:rsidP="002D23F8">
      <w:r w:rsidRPr="002D23F8">
        <w:rPr>
          <w:b/>
          <w:bCs/>
        </w:rPr>
        <w:t>Grant Name/PR Number:</w:t>
      </w:r>
      <w:r w:rsidRPr="002D23F8">
        <w:t xml:space="preserve"> [Insert Grant ID]</w:t>
      </w:r>
    </w:p>
    <w:p w14:paraId="51507E5A" w14:textId="77777777" w:rsidR="002D23F8" w:rsidRPr="002D23F8" w:rsidRDefault="002D23F8" w:rsidP="002D23F8">
      <w:r w:rsidRPr="002D23F8">
        <w:rPr>
          <w:b/>
          <w:bCs/>
        </w:rPr>
        <w:t>Attendees:</w:t>
      </w:r>
      <w:r w:rsidRPr="002D23F8">
        <w:t xml:space="preserve"> Project Director, Fiscal Liaison, Grants Manager</w:t>
      </w:r>
    </w:p>
    <w:p w14:paraId="180C126C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1. Reconciliation Review (The "Paperwork Check")</w:t>
      </w:r>
    </w:p>
    <w:p w14:paraId="222B76E7" w14:textId="77777777" w:rsidR="002D23F8" w:rsidRPr="002D23F8" w:rsidRDefault="002D23F8" w:rsidP="002D23F8">
      <w:r w:rsidRPr="002D23F8">
        <w:rPr>
          <w:i/>
          <w:iCs/>
        </w:rPr>
        <w:t>Goal: Ensure your internal records match the state’s official ledger.</w:t>
      </w:r>
    </w:p>
    <w:p w14:paraId="787D4233" w14:textId="77777777" w:rsidR="002D23F8" w:rsidRPr="002D23F8" w:rsidRDefault="002D23F8" w:rsidP="002D23F8">
      <w:pPr>
        <w:numPr>
          <w:ilvl w:val="0"/>
          <w:numId w:val="15"/>
        </w:numPr>
      </w:pPr>
      <w:r w:rsidRPr="002D23F8">
        <w:rPr>
          <w:b/>
          <w:bCs/>
        </w:rPr>
        <w:t>Total Expenditures to Date:</w:t>
      </w:r>
      <w:r w:rsidRPr="002D23F8">
        <w:t xml:space="preserve"> Review the most recent "Budget vs. Actuals" report.</w:t>
      </w:r>
    </w:p>
    <w:p w14:paraId="786186E6" w14:textId="77777777" w:rsidR="002D23F8" w:rsidRPr="002D23F8" w:rsidRDefault="002D23F8" w:rsidP="002D23F8">
      <w:pPr>
        <w:numPr>
          <w:ilvl w:val="0"/>
          <w:numId w:val="15"/>
        </w:numPr>
      </w:pPr>
      <w:r w:rsidRPr="002D23F8">
        <w:rPr>
          <w:b/>
          <w:bCs/>
        </w:rPr>
        <w:t>Pending Encumbrances:</w:t>
      </w:r>
      <w:r w:rsidRPr="002D23F8">
        <w:t xml:space="preserve"> Identify any contracts or purchase orders that are "in the system" but not yet paid out (liquidated).</w:t>
      </w:r>
    </w:p>
    <w:p w14:paraId="508126CE" w14:textId="77777777" w:rsidR="002D23F8" w:rsidRPr="002D23F8" w:rsidRDefault="002D23F8" w:rsidP="002D23F8">
      <w:pPr>
        <w:numPr>
          <w:ilvl w:val="0"/>
          <w:numId w:val="15"/>
        </w:numPr>
      </w:pPr>
      <w:r w:rsidRPr="002D23F8">
        <w:rPr>
          <w:b/>
          <w:bCs/>
        </w:rPr>
        <w:t>Discrepancy Check:</w:t>
      </w:r>
      <w:r w:rsidRPr="002D23F8">
        <w:t xml:space="preserve"> Are there any charges on the ledger that don’t belong to this grant? (e.g., miscoded travel or supplies from another department).</w:t>
      </w:r>
    </w:p>
    <w:p w14:paraId="05BA936B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2. Burn Rate &amp; Obligations (The "Strategy Check")</w:t>
      </w:r>
    </w:p>
    <w:p w14:paraId="61B61688" w14:textId="77777777" w:rsidR="002D23F8" w:rsidRPr="002D23F8" w:rsidRDefault="002D23F8" w:rsidP="002D23F8">
      <w:r w:rsidRPr="002D23F8">
        <w:rPr>
          <w:i/>
          <w:iCs/>
        </w:rPr>
        <w:t>Goal: Avoid a "use it or lose it" crisis at the end of the fiscal year.</w:t>
      </w:r>
    </w:p>
    <w:p w14:paraId="218B551F" w14:textId="77777777" w:rsidR="002D23F8" w:rsidRPr="002D23F8" w:rsidRDefault="002D23F8" w:rsidP="002D23F8">
      <w:pPr>
        <w:numPr>
          <w:ilvl w:val="0"/>
          <w:numId w:val="16"/>
        </w:numPr>
      </w:pPr>
      <w:r w:rsidRPr="002D23F8">
        <w:rPr>
          <w:b/>
          <w:bCs/>
        </w:rPr>
        <w:t>Projected Spending:</w:t>
      </w:r>
      <w:r w:rsidRPr="002D23F8">
        <w:t xml:space="preserve"> Based on upcoming activities (conferences, site visits, or summer institutes), what is the estimated spend for the next 30/60 days?</w:t>
      </w:r>
    </w:p>
    <w:p w14:paraId="794D4772" w14:textId="77777777" w:rsidR="002D23F8" w:rsidRPr="002D23F8" w:rsidRDefault="002D23F8" w:rsidP="002D23F8">
      <w:pPr>
        <w:numPr>
          <w:ilvl w:val="0"/>
          <w:numId w:val="16"/>
        </w:numPr>
      </w:pPr>
      <w:r w:rsidRPr="002D23F8">
        <w:rPr>
          <w:b/>
          <w:bCs/>
        </w:rPr>
        <w:t>Under-spending Risk:</w:t>
      </w:r>
      <w:r w:rsidRPr="002D23F8">
        <w:t xml:space="preserve"> If spending is lower than the projected 1/12th per month, do we need to initiate a </w:t>
      </w:r>
      <w:r w:rsidRPr="002D23F8">
        <w:rPr>
          <w:b/>
          <w:bCs/>
        </w:rPr>
        <w:t>Budget Amendment</w:t>
      </w:r>
      <w:r w:rsidRPr="002D23F8">
        <w:t xml:space="preserve"> with the Federal Program Officer?</w:t>
      </w:r>
    </w:p>
    <w:p w14:paraId="24BAE1AB" w14:textId="77777777" w:rsidR="002D23F8" w:rsidRPr="002D23F8" w:rsidRDefault="002D23F8" w:rsidP="002D23F8">
      <w:pPr>
        <w:numPr>
          <w:ilvl w:val="0"/>
          <w:numId w:val="16"/>
        </w:numPr>
      </w:pPr>
      <w:r w:rsidRPr="002D23F8">
        <w:rPr>
          <w:b/>
          <w:bCs/>
        </w:rPr>
        <w:t>Contractual Milestones:</w:t>
      </w:r>
      <w:r w:rsidRPr="002D23F8">
        <w:t xml:space="preserve"> Are vendors/contractors submitting invoices on time? Identify any stalled payments.</w:t>
      </w:r>
    </w:p>
    <w:p w14:paraId="30701D56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3. Personnel &amp; Effort Reporting (The "Audit Check")</w:t>
      </w:r>
    </w:p>
    <w:p w14:paraId="58223944" w14:textId="77777777" w:rsidR="002D23F8" w:rsidRPr="002D23F8" w:rsidRDefault="002D23F8" w:rsidP="002D23F8">
      <w:r w:rsidRPr="002D23F8">
        <w:rPr>
          <w:i/>
          <w:iCs/>
        </w:rPr>
        <w:t>Goal: Secure the largest portion of your budget.</w:t>
      </w:r>
    </w:p>
    <w:p w14:paraId="33FBDB6B" w14:textId="77777777" w:rsidR="002D23F8" w:rsidRPr="002D23F8" w:rsidRDefault="002D23F8" w:rsidP="002D23F8">
      <w:pPr>
        <w:numPr>
          <w:ilvl w:val="0"/>
          <w:numId w:val="17"/>
        </w:numPr>
      </w:pPr>
      <w:r w:rsidRPr="002D23F8">
        <w:rPr>
          <w:b/>
          <w:bCs/>
        </w:rPr>
        <w:t>Time &amp; Effort Status:</w:t>
      </w:r>
      <w:r w:rsidRPr="002D23F8">
        <w:t xml:space="preserve"> Have all staff funded by this grant signed their certifications for the previous period?</w:t>
      </w:r>
    </w:p>
    <w:p w14:paraId="601D590F" w14:textId="77777777" w:rsidR="002D23F8" w:rsidRPr="002D23F8" w:rsidRDefault="002D23F8" w:rsidP="002D23F8">
      <w:pPr>
        <w:numPr>
          <w:ilvl w:val="0"/>
          <w:numId w:val="17"/>
        </w:numPr>
      </w:pPr>
      <w:r w:rsidRPr="002D23F8">
        <w:rPr>
          <w:b/>
          <w:bCs/>
        </w:rPr>
        <w:t>Staffing Changes:</w:t>
      </w:r>
      <w:r w:rsidRPr="002D23F8">
        <w:t xml:space="preserve"> Any new hires or departures? Confirm that the "Position Control" numbers are correctly mapped to the grant’s funding string.</w:t>
      </w:r>
    </w:p>
    <w:p w14:paraId="60EE6F56" w14:textId="77777777" w:rsidR="002D23F8" w:rsidRPr="002D23F8" w:rsidRDefault="002D23F8" w:rsidP="002D23F8">
      <w:pPr>
        <w:numPr>
          <w:ilvl w:val="0"/>
          <w:numId w:val="17"/>
        </w:numPr>
      </w:pPr>
      <w:r w:rsidRPr="002D23F8">
        <w:rPr>
          <w:b/>
          <w:bCs/>
        </w:rPr>
        <w:t>Fringe Benefits:</w:t>
      </w:r>
      <w:r w:rsidRPr="002D23F8">
        <w:t xml:space="preserve"> Confirm the fringe rate being applied matches the current negotiated state rate.</w:t>
      </w:r>
    </w:p>
    <w:p w14:paraId="36321CBF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4. Sub-Award Oversight (If Applicable)</w:t>
      </w:r>
    </w:p>
    <w:p w14:paraId="3B859172" w14:textId="77777777" w:rsidR="002D23F8" w:rsidRPr="002D23F8" w:rsidRDefault="002D23F8" w:rsidP="002D23F8">
      <w:r w:rsidRPr="002D23F8">
        <w:rPr>
          <w:i/>
          <w:iCs/>
        </w:rPr>
        <w:t>Goal: Ensure flow-through funds are moving and compliant.</w:t>
      </w:r>
    </w:p>
    <w:p w14:paraId="0E2995E3" w14:textId="77777777" w:rsidR="002D23F8" w:rsidRPr="002D23F8" w:rsidRDefault="002D23F8" w:rsidP="002D23F8">
      <w:pPr>
        <w:numPr>
          <w:ilvl w:val="0"/>
          <w:numId w:val="18"/>
        </w:numPr>
      </w:pPr>
      <w:r w:rsidRPr="002D23F8">
        <w:rPr>
          <w:b/>
          <w:bCs/>
        </w:rPr>
        <w:t>LEA/Sub-grantee Draws:</w:t>
      </w:r>
      <w:r w:rsidRPr="002D23F8">
        <w:t xml:space="preserve"> Review which sub-grantees have </w:t>
      </w:r>
      <w:r w:rsidRPr="002D23F8">
        <w:rPr>
          <w:i/>
          <w:iCs/>
        </w:rPr>
        <w:t>not</w:t>
      </w:r>
      <w:r w:rsidRPr="002D23F8">
        <w:t xml:space="preserve"> drawn down funds in the last 60 days. (Note: Inactivity is often a sign of programmatic struggle).</w:t>
      </w:r>
    </w:p>
    <w:p w14:paraId="6C67E647" w14:textId="77777777" w:rsidR="002D23F8" w:rsidRPr="002D23F8" w:rsidRDefault="002D23F8" w:rsidP="002D23F8">
      <w:pPr>
        <w:numPr>
          <w:ilvl w:val="0"/>
          <w:numId w:val="18"/>
        </w:numPr>
      </w:pPr>
      <w:r w:rsidRPr="002D23F8">
        <w:rPr>
          <w:b/>
          <w:bCs/>
        </w:rPr>
        <w:t>High-Risk Flags:</w:t>
      </w:r>
      <w:r w:rsidRPr="002D23F8">
        <w:t xml:space="preserve"> Discuss any sub-grantees that have been flagged for questionable costs or missing documentation.</w:t>
      </w:r>
    </w:p>
    <w:p w14:paraId="68FA1033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5. Upcoming Deadlines &amp; Action Items</w:t>
      </w:r>
    </w:p>
    <w:p w14:paraId="5C4C6FA2" w14:textId="77777777" w:rsidR="002D23F8" w:rsidRPr="002D23F8" w:rsidRDefault="002D23F8" w:rsidP="002D23F8">
      <w:pPr>
        <w:numPr>
          <w:ilvl w:val="0"/>
          <w:numId w:val="19"/>
        </w:numPr>
      </w:pPr>
      <w:r w:rsidRPr="002D23F8">
        <w:rPr>
          <w:b/>
          <w:bCs/>
        </w:rPr>
        <w:t>Next Federal Report:</w:t>
      </w:r>
      <w:r w:rsidRPr="002D23F8">
        <w:t xml:space="preserve"> Date for the next Annual Performance Report (APR) or Financial Status Report (SF-425).</w:t>
      </w:r>
    </w:p>
    <w:p w14:paraId="7B638465" w14:textId="77777777" w:rsidR="002D23F8" w:rsidRPr="002D23F8" w:rsidRDefault="002D23F8" w:rsidP="002D23F8">
      <w:pPr>
        <w:numPr>
          <w:ilvl w:val="0"/>
          <w:numId w:val="19"/>
        </w:numPr>
      </w:pPr>
      <w:r w:rsidRPr="002D23F8">
        <w:rPr>
          <w:b/>
          <w:bCs/>
        </w:rPr>
        <w:t>Immediate Needs:</w:t>
      </w:r>
      <w:r w:rsidRPr="002D23F8">
        <w:t xml:space="preserve"> (e.g., "I need a new UEI verified for a vendor," or "We need to reallocate $5,000 from Travel to Supplies").</w:t>
      </w:r>
    </w:p>
    <w:p w14:paraId="33DB2222" w14:textId="77777777" w:rsidR="002D23F8" w:rsidRPr="002D23F8" w:rsidRDefault="00362C07" w:rsidP="002D23F8">
      <w:r>
        <w:pict w14:anchorId="5D38AD54">
          <v:rect id="_x0000_i1040" style="width:0;height:1.5pt" o:hralign="center" o:hrstd="t" o:hr="t" fillcolor="#a0a0a0" stroked="f"/>
        </w:pict>
      </w:r>
    </w:p>
    <w:p w14:paraId="78B94D89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Internal Meeting Log (Template)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4"/>
        <w:gridCol w:w="3023"/>
        <w:gridCol w:w="1573"/>
      </w:tblGrid>
      <w:tr w:rsidR="002D23F8" w:rsidRPr="002D23F8" w14:paraId="6B353E49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7E08324" w14:textId="77777777" w:rsidR="002D23F8" w:rsidRPr="002D23F8" w:rsidRDefault="002D23F8" w:rsidP="002D23F8">
            <w:r w:rsidRPr="002D23F8">
              <w:t>Action 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B13FE60" w14:textId="77777777" w:rsidR="002D23F8" w:rsidRPr="002D23F8" w:rsidRDefault="002D23F8" w:rsidP="002D23F8">
            <w:r w:rsidRPr="002D23F8">
              <w:t>Responsible Party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912A448" w14:textId="77777777" w:rsidR="002D23F8" w:rsidRPr="002D23F8" w:rsidRDefault="002D23F8" w:rsidP="002D23F8">
            <w:r w:rsidRPr="002D23F8">
              <w:t>Due Date</w:t>
            </w:r>
          </w:p>
        </w:tc>
      </w:tr>
      <w:tr w:rsidR="002D23F8" w:rsidRPr="002D23F8" w14:paraId="0104FD89" w14:textId="77777777"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4A37871" w14:textId="77777777" w:rsidR="002D23F8" w:rsidRPr="002D23F8" w:rsidRDefault="002D23F8" w:rsidP="002D23F8">
            <w:r w:rsidRPr="002D23F8">
              <w:rPr>
                <w:i/>
                <w:iCs/>
              </w:rPr>
              <w:t>Ex: Correct miscoded hotel charge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E50860E" w14:textId="77777777" w:rsidR="002D23F8" w:rsidRPr="002D23F8" w:rsidRDefault="002D23F8" w:rsidP="002D23F8">
            <w:r w:rsidRPr="002D23F8">
              <w:rPr>
                <w:i/>
                <w:iCs/>
              </w:rPr>
              <w:t>Fiscal Liaison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2339C6E" w14:textId="77777777" w:rsidR="002D23F8" w:rsidRPr="002D23F8" w:rsidRDefault="002D23F8" w:rsidP="002D23F8">
            <w:r w:rsidRPr="002D23F8">
              <w:rPr>
                <w:i/>
                <w:iCs/>
              </w:rPr>
              <w:t>Friday</w:t>
            </w:r>
          </w:p>
        </w:tc>
      </w:tr>
      <w:tr w:rsidR="002D23F8" w:rsidRPr="002D23F8" w14:paraId="592C1A3E" w14:textId="77777777"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377F0E84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05CBC11" w14:textId="77777777" w:rsidR="002D23F8" w:rsidRPr="002D23F8" w:rsidRDefault="002D23F8" w:rsidP="002D23F8"/>
        </w:tc>
        <w:tc>
          <w:tcPr>
            <w:tcW w:w="0" w:type="auto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0A79C83" w14:textId="77777777" w:rsidR="002D23F8" w:rsidRPr="002D23F8" w:rsidRDefault="002D23F8" w:rsidP="002D23F8"/>
        </w:tc>
      </w:tr>
    </w:tbl>
    <w:p w14:paraId="11D52916" w14:textId="77777777" w:rsidR="002D23F8" w:rsidRPr="002D23F8" w:rsidRDefault="002D23F8" w:rsidP="002D23F8">
      <w:r w:rsidRPr="002D23F8">
        <w:t xml:space="preserve">This calendar is structured around the </w:t>
      </w:r>
      <w:r w:rsidRPr="002D23F8">
        <w:rPr>
          <w:b/>
          <w:bCs/>
        </w:rPr>
        <w:t>Federal Fiscal Year (October 1 – September 30)</w:t>
      </w:r>
      <w:r w:rsidRPr="002D23F8">
        <w:t>. For an SEA Project Director, this cycle is a balancing act between starting new activities, monitoring sub-grantees, and preparing for that critical May reporting window.</w:t>
      </w:r>
    </w:p>
    <w:p w14:paraId="3995F2C8" w14:textId="77777777" w:rsidR="002D23F8" w:rsidRPr="002D23F8" w:rsidRDefault="00362C07" w:rsidP="002D23F8">
      <w:r>
        <w:pict w14:anchorId="5A360B6E">
          <v:rect id="_x0000_i1041" style="width:0;height:1.5pt" o:hralign="center" o:hrstd="t" o:hr="t" fillcolor="#a0a0a0" stroked="f"/>
        </w:pict>
      </w:r>
    </w:p>
    <w:p w14:paraId="488FA890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Federal Grant Management: Year-at-a-Glance</w:t>
      </w:r>
    </w:p>
    <w:p w14:paraId="4A428835" w14:textId="77777777" w:rsidR="002D23F8" w:rsidRPr="002D23F8" w:rsidRDefault="002D23F8" w:rsidP="002D23F8">
      <w:r w:rsidRPr="002D23F8">
        <w:rPr>
          <w:b/>
          <w:bCs/>
        </w:rPr>
        <w:t>Fiscal Year:</w:t>
      </w:r>
      <w:r w:rsidRPr="002D23F8">
        <w:t xml:space="preserve"> October 1 – September 30 | </w:t>
      </w:r>
      <w:r w:rsidRPr="002D23F8">
        <w:rPr>
          <w:b/>
          <w:bCs/>
        </w:rPr>
        <w:t>Annual Report:</w:t>
      </w:r>
      <w:r w:rsidRPr="002D23F8">
        <w:t xml:space="preserve"> Early May</w:t>
      </w:r>
    </w:p>
    <w:p w14:paraId="757048AB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Quarter 1: Launch &amp; Alignment (October – December)</w:t>
      </w:r>
    </w:p>
    <w:p w14:paraId="6FA0CC24" w14:textId="77777777" w:rsidR="002D23F8" w:rsidRPr="002D23F8" w:rsidRDefault="002D23F8" w:rsidP="002D23F8">
      <w:r w:rsidRPr="002D23F8">
        <w:rPr>
          <w:i/>
          <w:iCs/>
        </w:rPr>
        <w:t>Focus: Setting the stage for the new funding year.</w:t>
      </w:r>
    </w:p>
    <w:p w14:paraId="06C48362" w14:textId="77777777" w:rsidR="002D23F8" w:rsidRPr="002D23F8" w:rsidRDefault="002D23F8" w:rsidP="002D23F8">
      <w:pPr>
        <w:numPr>
          <w:ilvl w:val="0"/>
          <w:numId w:val="20"/>
        </w:numPr>
      </w:pPr>
      <w:r w:rsidRPr="002D23F8">
        <w:rPr>
          <w:b/>
          <w:bCs/>
        </w:rPr>
        <w:t>October 1:</w:t>
      </w:r>
      <w:r w:rsidRPr="002D23F8">
        <w:t xml:space="preserve"> New Fiscal Year begins. Ensure the Budget Office has "loaded" the new year’s funds into the state accounting system.</w:t>
      </w:r>
    </w:p>
    <w:p w14:paraId="3BF0F548" w14:textId="77777777" w:rsidR="002D23F8" w:rsidRPr="002D23F8" w:rsidRDefault="002D23F8" w:rsidP="002D23F8">
      <w:pPr>
        <w:numPr>
          <w:ilvl w:val="0"/>
          <w:numId w:val="20"/>
        </w:numPr>
      </w:pPr>
      <w:r w:rsidRPr="002D23F8">
        <w:rPr>
          <w:b/>
          <w:bCs/>
        </w:rPr>
        <w:t>October:</w:t>
      </w:r>
      <w:r w:rsidRPr="002D23F8">
        <w:t xml:space="preserve"> Hold a "Kickoff Meeting" with internal staff and sub-grantees to review goals for the year.</w:t>
      </w:r>
    </w:p>
    <w:p w14:paraId="25FEAB37" w14:textId="77777777" w:rsidR="002D23F8" w:rsidRPr="002D23F8" w:rsidRDefault="002D23F8" w:rsidP="002D23F8">
      <w:pPr>
        <w:numPr>
          <w:ilvl w:val="0"/>
          <w:numId w:val="20"/>
        </w:numPr>
      </w:pPr>
      <w:r w:rsidRPr="002D23F8">
        <w:rPr>
          <w:b/>
          <w:bCs/>
        </w:rPr>
        <w:t>November:</w:t>
      </w:r>
      <w:r w:rsidRPr="002D23F8">
        <w:t xml:space="preserve"> Conduct a </w:t>
      </w:r>
      <w:r w:rsidRPr="002D23F8">
        <w:rPr>
          <w:b/>
          <w:bCs/>
        </w:rPr>
        <w:t>First Quarter Reconciliation</w:t>
      </w:r>
      <w:r w:rsidRPr="002D23F8">
        <w:t>. Verify that any "carryover" funds from the previous year are correctly accounted for.</w:t>
      </w:r>
    </w:p>
    <w:p w14:paraId="35FB3193" w14:textId="77777777" w:rsidR="002D23F8" w:rsidRPr="002D23F8" w:rsidRDefault="002D23F8" w:rsidP="002D23F8">
      <w:pPr>
        <w:numPr>
          <w:ilvl w:val="0"/>
          <w:numId w:val="20"/>
        </w:numPr>
      </w:pPr>
      <w:r w:rsidRPr="002D23F8">
        <w:rPr>
          <w:b/>
          <w:bCs/>
        </w:rPr>
        <w:t>December:</w:t>
      </w:r>
      <w:r w:rsidRPr="002D23F8">
        <w:t xml:space="preserve"> Finalize any RFPs or contracts for external evaluators or vendors to ensure they can begin work by mid-year.</w:t>
      </w:r>
    </w:p>
    <w:p w14:paraId="00A9B105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Quarter 2: Monitoring &amp; Data Collection (January – March)</w:t>
      </w:r>
    </w:p>
    <w:p w14:paraId="08F8AD6A" w14:textId="77777777" w:rsidR="002D23F8" w:rsidRPr="002D23F8" w:rsidRDefault="002D23F8" w:rsidP="002D23F8">
      <w:r w:rsidRPr="002D23F8">
        <w:rPr>
          <w:i/>
          <w:iCs/>
        </w:rPr>
        <w:t>Focus: Gathering evidence and checking sub-grantee health.</w:t>
      </w:r>
    </w:p>
    <w:p w14:paraId="47216F82" w14:textId="77777777" w:rsidR="002D23F8" w:rsidRPr="002D23F8" w:rsidRDefault="002D23F8" w:rsidP="002D23F8">
      <w:pPr>
        <w:numPr>
          <w:ilvl w:val="0"/>
          <w:numId w:val="21"/>
        </w:numPr>
      </w:pPr>
      <w:r w:rsidRPr="002D23F8">
        <w:rPr>
          <w:b/>
          <w:bCs/>
        </w:rPr>
        <w:t>January:</w:t>
      </w:r>
      <w:r w:rsidRPr="002D23F8">
        <w:t xml:space="preserve"> Mid-year "Time and Effort" certifications. Ensure all staff have signed off on their July–December hours.</w:t>
      </w:r>
    </w:p>
    <w:p w14:paraId="68BFB5D0" w14:textId="77777777" w:rsidR="002D23F8" w:rsidRPr="002D23F8" w:rsidRDefault="002D23F8" w:rsidP="002D23F8">
      <w:pPr>
        <w:numPr>
          <w:ilvl w:val="0"/>
          <w:numId w:val="21"/>
        </w:numPr>
      </w:pPr>
      <w:r w:rsidRPr="002D23F8">
        <w:rPr>
          <w:b/>
          <w:bCs/>
        </w:rPr>
        <w:t>February:</w:t>
      </w:r>
      <w:r w:rsidRPr="002D23F8">
        <w:t xml:space="preserve"> Conduct "Desktop Monitoring" of sub-grantees. Review their spending to see who is lagging (underspending).</w:t>
      </w:r>
    </w:p>
    <w:p w14:paraId="1DAEDE28" w14:textId="77777777" w:rsidR="002D23F8" w:rsidRPr="002D23F8" w:rsidRDefault="002D23F8" w:rsidP="002D23F8">
      <w:pPr>
        <w:numPr>
          <w:ilvl w:val="0"/>
          <w:numId w:val="21"/>
        </w:numPr>
      </w:pPr>
      <w:r w:rsidRPr="002D23F8">
        <w:rPr>
          <w:b/>
          <w:bCs/>
        </w:rPr>
        <w:t>March:</w:t>
      </w:r>
      <w:r w:rsidRPr="002D23F8">
        <w:t xml:space="preserve"> </w:t>
      </w:r>
      <w:r w:rsidRPr="002D23F8">
        <w:rPr>
          <w:b/>
          <w:bCs/>
        </w:rPr>
        <w:t>Data Freeze.</w:t>
      </w:r>
      <w:r w:rsidRPr="002D23F8">
        <w:t xml:space="preserve"> Start pulling preliminary data for the May Annual Performance Report (APR). Don't wait until April to find out a district hasn't collected their metrics.</w:t>
      </w:r>
    </w:p>
    <w:p w14:paraId="588D6618" w14:textId="77777777" w:rsidR="002D23F8" w:rsidRPr="002D23F8" w:rsidRDefault="002D23F8" w:rsidP="002D23F8">
      <w:pPr>
        <w:numPr>
          <w:ilvl w:val="0"/>
          <w:numId w:val="21"/>
        </w:numPr>
      </w:pPr>
      <w:r w:rsidRPr="002D23F8">
        <w:rPr>
          <w:b/>
          <w:bCs/>
        </w:rPr>
        <w:t>Late March:</w:t>
      </w:r>
      <w:r w:rsidRPr="002D23F8">
        <w:t xml:space="preserve"> Review the Budget Burn Rate. If you have significant savings, start drafting a budget amendment request.</w:t>
      </w:r>
    </w:p>
    <w:p w14:paraId="43927E16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Quarter 3: The Reporting Sprint (April – June)</w:t>
      </w:r>
    </w:p>
    <w:p w14:paraId="65FBE3E3" w14:textId="77777777" w:rsidR="002D23F8" w:rsidRPr="002D23F8" w:rsidRDefault="002D23F8" w:rsidP="002D23F8">
      <w:r w:rsidRPr="002D23F8">
        <w:rPr>
          <w:i/>
          <w:iCs/>
        </w:rPr>
        <w:t>Focus: Accountability and looking ahead.</w:t>
      </w:r>
    </w:p>
    <w:p w14:paraId="0B6269C3" w14:textId="77777777" w:rsidR="002D23F8" w:rsidRPr="002D23F8" w:rsidRDefault="002D23F8" w:rsidP="002D23F8">
      <w:pPr>
        <w:numPr>
          <w:ilvl w:val="0"/>
          <w:numId w:val="22"/>
        </w:numPr>
      </w:pPr>
      <w:r w:rsidRPr="002D23F8">
        <w:rPr>
          <w:b/>
          <w:bCs/>
        </w:rPr>
        <w:t>April:</w:t>
      </w:r>
      <w:r w:rsidRPr="002D23F8">
        <w:t xml:space="preserve"> Draft the </w:t>
      </w:r>
      <w:r w:rsidRPr="002D23F8">
        <w:rPr>
          <w:b/>
          <w:bCs/>
        </w:rPr>
        <w:t>Annual Performance Report (APR)</w:t>
      </w:r>
      <w:r w:rsidRPr="002D23F8">
        <w:t>. Coordinate with the Evaluation Lead and Fiscal Office to ensure numbers match.</w:t>
      </w:r>
    </w:p>
    <w:p w14:paraId="59801FB3" w14:textId="77777777" w:rsidR="002D23F8" w:rsidRPr="002D23F8" w:rsidRDefault="002D23F8" w:rsidP="002D23F8">
      <w:pPr>
        <w:numPr>
          <w:ilvl w:val="0"/>
          <w:numId w:val="22"/>
        </w:numPr>
      </w:pPr>
      <w:r w:rsidRPr="002D23F8">
        <w:rPr>
          <w:b/>
          <w:bCs/>
        </w:rPr>
        <w:t>Early May:</w:t>
      </w:r>
      <w:r w:rsidRPr="002D23F8">
        <w:t xml:space="preserve"> </w:t>
      </w:r>
      <w:r w:rsidRPr="002D23F8">
        <w:rPr>
          <w:b/>
          <w:bCs/>
        </w:rPr>
        <w:t>APR Submission Deadline.</w:t>
      </w:r>
      <w:r w:rsidRPr="002D23F8">
        <w:t xml:space="preserve"> Submit the report to your Federal Program Officer (FPO).</w:t>
      </w:r>
    </w:p>
    <w:p w14:paraId="234D0945" w14:textId="77777777" w:rsidR="002D23F8" w:rsidRPr="002D23F8" w:rsidRDefault="002D23F8" w:rsidP="002D23F8">
      <w:pPr>
        <w:numPr>
          <w:ilvl w:val="0"/>
          <w:numId w:val="22"/>
        </w:numPr>
      </w:pPr>
      <w:r w:rsidRPr="002D23F8">
        <w:rPr>
          <w:b/>
          <w:bCs/>
        </w:rPr>
        <w:t>May:</w:t>
      </w:r>
      <w:r w:rsidRPr="002D23F8">
        <w:t xml:space="preserve"> Begin planning for the </w:t>
      </w:r>
      <w:r w:rsidRPr="002D23F8">
        <w:rPr>
          <w:i/>
          <w:iCs/>
        </w:rPr>
        <w:t>next</w:t>
      </w:r>
      <w:r w:rsidRPr="002D23F8">
        <w:t xml:space="preserve"> fiscal year’s activities and internal budget requests.</w:t>
      </w:r>
    </w:p>
    <w:p w14:paraId="5D695D7A" w14:textId="77777777" w:rsidR="002D23F8" w:rsidRPr="002D23F8" w:rsidRDefault="002D23F8" w:rsidP="002D23F8">
      <w:pPr>
        <w:numPr>
          <w:ilvl w:val="0"/>
          <w:numId w:val="22"/>
        </w:numPr>
      </w:pPr>
      <w:r w:rsidRPr="002D23F8">
        <w:rPr>
          <w:b/>
          <w:bCs/>
        </w:rPr>
        <w:t>June:</w:t>
      </w:r>
      <w:r w:rsidRPr="002D23F8">
        <w:t xml:space="preserve"> Conduct site visits or intensive technical assistance for any sub-grantees flagged as "high risk" during the Q2 review.</w:t>
      </w:r>
    </w:p>
    <w:p w14:paraId="2E34011D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Quarter 4: Closeout &amp; Preparation (July – September)</w:t>
      </w:r>
    </w:p>
    <w:p w14:paraId="1C1B8FAD" w14:textId="77777777" w:rsidR="002D23F8" w:rsidRPr="002D23F8" w:rsidRDefault="002D23F8" w:rsidP="002D23F8">
      <w:r w:rsidRPr="002D23F8">
        <w:rPr>
          <w:i/>
          <w:iCs/>
        </w:rPr>
        <w:t>Focus: Cleaning up the books and preventing "reversion" of funds.</w:t>
      </w:r>
    </w:p>
    <w:p w14:paraId="6863A707" w14:textId="77777777" w:rsidR="002D23F8" w:rsidRPr="002D23F8" w:rsidRDefault="002D23F8" w:rsidP="002D23F8">
      <w:pPr>
        <w:numPr>
          <w:ilvl w:val="0"/>
          <w:numId w:val="23"/>
        </w:numPr>
      </w:pPr>
      <w:r w:rsidRPr="002D23F8">
        <w:rPr>
          <w:b/>
          <w:bCs/>
        </w:rPr>
        <w:t>July:</w:t>
      </w:r>
      <w:r w:rsidRPr="002D23F8">
        <w:t xml:space="preserve"> Second "Time and Effort" certification window (for January–June).</w:t>
      </w:r>
    </w:p>
    <w:p w14:paraId="520BA6D0" w14:textId="77777777" w:rsidR="002D23F8" w:rsidRPr="002D23F8" w:rsidRDefault="002D23F8" w:rsidP="002D23F8">
      <w:pPr>
        <w:numPr>
          <w:ilvl w:val="0"/>
          <w:numId w:val="23"/>
        </w:numPr>
      </w:pPr>
      <w:r w:rsidRPr="002D23F8">
        <w:rPr>
          <w:b/>
          <w:bCs/>
        </w:rPr>
        <w:t>August:</w:t>
      </w:r>
      <w:r w:rsidRPr="002D23F8">
        <w:t xml:space="preserve"> </w:t>
      </w:r>
      <w:r w:rsidRPr="002D23F8">
        <w:rPr>
          <w:b/>
          <w:bCs/>
        </w:rPr>
        <w:t>The "Final Push" for Spending.</w:t>
      </w:r>
      <w:r w:rsidRPr="002D23F8">
        <w:t xml:space="preserve"> Ensure all invoices for the current year are submitted. Check with the Budget Office on "liquidation" deadlines.</w:t>
      </w:r>
    </w:p>
    <w:p w14:paraId="240B494A" w14:textId="77777777" w:rsidR="002D23F8" w:rsidRPr="002D23F8" w:rsidRDefault="002D23F8" w:rsidP="002D23F8">
      <w:pPr>
        <w:numPr>
          <w:ilvl w:val="0"/>
          <w:numId w:val="23"/>
        </w:numPr>
      </w:pPr>
      <w:r w:rsidRPr="002D23F8">
        <w:rPr>
          <w:b/>
          <w:bCs/>
        </w:rPr>
        <w:t>September 1:</w:t>
      </w:r>
      <w:r w:rsidRPr="002D23F8">
        <w:t xml:space="preserve"> Final reconciliation. Ensure all obligations (contracts) are signed before the Sept 30 cutoff.</w:t>
      </w:r>
    </w:p>
    <w:p w14:paraId="6007598C" w14:textId="77777777" w:rsidR="002D23F8" w:rsidRPr="002D23F8" w:rsidRDefault="002D23F8" w:rsidP="002D23F8">
      <w:pPr>
        <w:numPr>
          <w:ilvl w:val="0"/>
          <w:numId w:val="23"/>
        </w:numPr>
      </w:pPr>
      <w:r w:rsidRPr="002D23F8">
        <w:rPr>
          <w:b/>
          <w:bCs/>
        </w:rPr>
        <w:t>September 30:</w:t>
      </w:r>
      <w:r w:rsidRPr="002D23F8">
        <w:t xml:space="preserve"> End of Fiscal Year. Ensure all "Period of Performance" requirements are met.</w:t>
      </w:r>
    </w:p>
    <w:p w14:paraId="15033C82" w14:textId="77777777" w:rsidR="002D23F8" w:rsidRPr="002D23F8" w:rsidRDefault="00362C07" w:rsidP="002D23F8">
      <w:r>
        <w:pict w14:anchorId="6661692E">
          <v:rect id="_x0000_i1042" style="width:0;height:1.5pt" o:hralign="center" o:hrstd="t" o:hr="t" fillcolor="#a0a0a0" stroked="f"/>
        </w:pict>
      </w:r>
    </w:p>
    <w:p w14:paraId="3835093D" w14:textId="77777777" w:rsidR="002D23F8" w:rsidRPr="002D23F8" w:rsidRDefault="002D23F8" w:rsidP="002D23F8">
      <w:pPr>
        <w:rPr>
          <w:b/>
          <w:bCs/>
        </w:rPr>
      </w:pPr>
      <w:r w:rsidRPr="002D23F8">
        <w:rPr>
          <w:b/>
          <w:bCs/>
        </w:rPr>
        <w:t>Key Recurring Reminders</w:t>
      </w:r>
    </w:p>
    <w:p w14:paraId="65B043F9" w14:textId="77777777" w:rsidR="002D23F8" w:rsidRPr="002D23F8" w:rsidRDefault="002D23F8" w:rsidP="002D23F8">
      <w:pPr>
        <w:numPr>
          <w:ilvl w:val="0"/>
          <w:numId w:val="24"/>
        </w:numPr>
      </w:pPr>
      <w:r w:rsidRPr="002D23F8">
        <w:rPr>
          <w:b/>
          <w:bCs/>
        </w:rPr>
        <w:t>Monthly:</w:t>
      </w:r>
      <w:r w:rsidRPr="002D23F8">
        <w:t xml:space="preserve"> Fiscal-Programmatic Alignment Meeting (using the agenda provided previously).</w:t>
      </w:r>
    </w:p>
    <w:p w14:paraId="362C86FE" w14:textId="77777777" w:rsidR="002D23F8" w:rsidRPr="002D23F8" w:rsidRDefault="002D23F8" w:rsidP="002D23F8">
      <w:pPr>
        <w:numPr>
          <w:ilvl w:val="0"/>
          <w:numId w:val="24"/>
        </w:numPr>
      </w:pPr>
      <w:r w:rsidRPr="002D23F8">
        <w:rPr>
          <w:b/>
          <w:bCs/>
        </w:rPr>
        <w:t>Quarterly:</w:t>
      </w:r>
      <w:r w:rsidRPr="002D23F8">
        <w:t xml:space="preserve"> Drawdown review. Ensure the SEA is pulling federal cash regularly to avoid "large balance" flags from the U.S. Department of Education.</w:t>
      </w:r>
    </w:p>
    <w:p w14:paraId="65438873" w14:textId="77777777" w:rsidR="002D23F8" w:rsidRPr="002D23F8" w:rsidRDefault="002D23F8" w:rsidP="002D23F8">
      <w:pPr>
        <w:numPr>
          <w:ilvl w:val="0"/>
          <w:numId w:val="24"/>
        </w:numPr>
      </w:pPr>
      <w:r w:rsidRPr="002D23F8">
        <w:rPr>
          <w:b/>
          <w:bCs/>
        </w:rPr>
        <w:t>Ongoing:</w:t>
      </w:r>
      <w:r w:rsidRPr="002D23F8">
        <w:t xml:space="preserve"> Keep your "Grant Evidence Folder" updated with meeting minutes, sign-in sheets, and artifacts for future audits.</w:t>
      </w:r>
    </w:p>
    <w:p w14:paraId="217DA5EC" w14:textId="77777777" w:rsidR="002D23F8" w:rsidRDefault="002D23F8"/>
    <w:sectPr w:rsidR="002D23F8" w:rsidSect="009333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B7B"/>
    <w:multiLevelType w:val="multilevel"/>
    <w:tmpl w:val="D9B8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5DC3"/>
    <w:multiLevelType w:val="multilevel"/>
    <w:tmpl w:val="799A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30BF7"/>
    <w:multiLevelType w:val="multilevel"/>
    <w:tmpl w:val="726C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B4506"/>
    <w:multiLevelType w:val="multilevel"/>
    <w:tmpl w:val="7B5E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E125DF"/>
    <w:multiLevelType w:val="multilevel"/>
    <w:tmpl w:val="2C46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9438A"/>
    <w:multiLevelType w:val="multilevel"/>
    <w:tmpl w:val="76FE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C6791C"/>
    <w:multiLevelType w:val="multilevel"/>
    <w:tmpl w:val="D47E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CC4696"/>
    <w:multiLevelType w:val="multilevel"/>
    <w:tmpl w:val="6A6A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832D07"/>
    <w:multiLevelType w:val="multilevel"/>
    <w:tmpl w:val="4666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DD2141"/>
    <w:multiLevelType w:val="multilevel"/>
    <w:tmpl w:val="C5C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597983"/>
    <w:multiLevelType w:val="multilevel"/>
    <w:tmpl w:val="E740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63449B"/>
    <w:multiLevelType w:val="multilevel"/>
    <w:tmpl w:val="5D98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E73CFD"/>
    <w:multiLevelType w:val="multilevel"/>
    <w:tmpl w:val="DFBE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FA03D8"/>
    <w:multiLevelType w:val="multilevel"/>
    <w:tmpl w:val="2CEE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E0268F"/>
    <w:multiLevelType w:val="multilevel"/>
    <w:tmpl w:val="094C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93E15"/>
    <w:multiLevelType w:val="multilevel"/>
    <w:tmpl w:val="C1D8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9D00EE"/>
    <w:multiLevelType w:val="multilevel"/>
    <w:tmpl w:val="A956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C71D83"/>
    <w:multiLevelType w:val="multilevel"/>
    <w:tmpl w:val="E014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914820"/>
    <w:multiLevelType w:val="multilevel"/>
    <w:tmpl w:val="6B3A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C32703"/>
    <w:multiLevelType w:val="multilevel"/>
    <w:tmpl w:val="A2B6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DA539E"/>
    <w:multiLevelType w:val="multilevel"/>
    <w:tmpl w:val="3822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AD4F26"/>
    <w:multiLevelType w:val="multilevel"/>
    <w:tmpl w:val="63F6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1C092B"/>
    <w:multiLevelType w:val="multilevel"/>
    <w:tmpl w:val="AB02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003A41"/>
    <w:multiLevelType w:val="multilevel"/>
    <w:tmpl w:val="1CE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9371441">
    <w:abstractNumId w:val="13"/>
  </w:num>
  <w:num w:numId="2" w16cid:durableId="677077928">
    <w:abstractNumId w:val="2"/>
  </w:num>
  <w:num w:numId="3" w16cid:durableId="2087603759">
    <w:abstractNumId w:val="11"/>
  </w:num>
  <w:num w:numId="4" w16cid:durableId="1129740045">
    <w:abstractNumId w:val="15"/>
  </w:num>
  <w:num w:numId="5" w16cid:durableId="1042176169">
    <w:abstractNumId w:val="0"/>
  </w:num>
  <w:num w:numId="6" w16cid:durableId="880477697">
    <w:abstractNumId w:val="20"/>
  </w:num>
  <w:num w:numId="7" w16cid:durableId="1979408189">
    <w:abstractNumId w:val="5"/>
  </w:num>
  <w:num w:numId="8" w16cid:durableId="1279069336">
    <w:abstractNumId w:val="23"/>
  </w:num>
  <w:num w:numId="9" w16cid:durableId="1677266404">
    <w:abstractNumId w:val="21"/>
  </w:num>
  <w:num w:numId="10" w16cid:durableId="968121564">
    <w:abstractNumId w:val="10"/>
  </w:num>
  <w:num w:numId="11" w16cid:durableId="1608542395">
    <w:abstractNumId w:val="7"/>
  </w:num>
  <w:num w:numId="12" w16cid:durableId="1028095982">
    <w:abstractNumId w:val="8"/>
  </w:num>
  <w:num w:numId="13" w16cid:durableId="638337972">
    <w:abstractNumId w:val="12"/>
  </w:num>
  <w:num w:numId="14" w16cid:durableId="1757286200">
    <w:abstractNumId w:val="9"/>
  </w:num>
  <w:num w:numId="15" w16cid:durableId="244387692">
    <w:abstractNumId w:val="6"/>
  </w:num>
  <w:num w:numId="16" w16cid:durableId="199321445">
    <w:abstractNumId w:val="16"/>
  </w:num>
  <w:num w:numId="17" w16cid:durableId="1318922741">
    <w:abstractNumId w:val="17"/>
  </w:num>
  <w:num w:numId="18" w16cid:durableId="1106467947">
    <w:abstractNumId w:val="19"/>
  </w:num>
  <w:num w:numId="19" w16cid:durableId="160895982">
    <w:abstractNumId w:val="14"/>
  </w:num>
  <w:num w:numId="20" w16cid:durableId="1313172503">
    <w:abstractNumId w:val="4"/>
  </w:num>
  <w:num w:numId="21" w16cid:durableId="1490904083">
    <w:abstractNumId w:val="1"/>
  </w:num>
  <w:num w:numId="22" w16cid:durableId="786972434">
    <w:abstractNumId w:val="3"/>
  </w:num>
  <w:num w:numId="23" w16cid:durableId="1780566433">
    <w:abstractNumId w:val="18"/>
  </w:num>
  <w:num w:numId="24" w16cid:durableId="9363252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F8"/>
    <w:rsid w:val="00070EDF"/>
    <w:rsid w:val="000A31D4"/>
    <w:rsid w:val="000C2A80"/>
    <w:rsid w:val="000D6881"/>
    <w:rsid w:val="00150260"/>
    <w:rsid w:val="00166CAE"/>
    <w:rsid w:val="001B3C0C"/>
    <w:rsid w:val="001B6610"/>
    <w:rsid w:val="001C2B7A"/>
    <w:rsid w:val="002A6621"/>
    <w:rsid w:val="002D23F8"/>
    <w:rsid w:val="002E27AE"/>
    <w:rsid w:val="00362C07"/>
    <w:rsid w:val="00366B29"/>
    <w:rsid w:val="003C757E"/>
    <w:rsid w:val="003E3175"/>
    <w:rsid w:val="00424130"/>
    <w:rsid w:val="00424941"/>
    <w:rsid w:val="004531F2"/>
    <w:rsid w:val="0046553B"/>
    <w:rsid w:val="00475F19"/>
    <w:rsid w:val="004C3C24"/>
    <w:rsid w:val="00561E4A"/>
    <w:rsid w:val="00575789"/>
    <w:rsid w:val="005776BF"/>
    <w:rsid w:val="005D247F"/>
    <w:rsid w:val="00603E2A"/>
    <w:rsid w:val="00614C9A"/>
    <w:rsid w:val="006303D6"/>
    <w:rsid w:val="006538CB"/>
    <w:rsid w:val="006623B6"/>
    <w:rsid w:val="00727529"/>
    <w:rsid w:val="00765C1C"/>
    <w:rsid w:val="007C26F5"/>
    <w:rsid w:val="0082317D"/>
    <w:rsid w:val="008408AB"/>
    <w:rsid w:val="00867900"/>
    <w:rsid w:val="00877408"/>
    <w:rsid w:val="00895821"/>
    <w:rsid w:val="008C2CC3"/>
    <w:rsid w:val="008F000F"/>
    <w:rsid w:val="00933327"/>
    <w:rsid w:val="00A24BD5"/>
    <w:rsid w:val="00A335DF"/>
    <w:rsid w:val="00AF7DDC"/>
    <w:rsid w:val="00B0463B"/>
    <w:rsid w:val="00B631E2"/>
    <w:rsid w:val="00C62670"/>
    <w:rsid w:val="00CC4A7C"/>
    <w:rsid w:val="00CC6A04"/>
    <w:rsid w:val="00CE419A"/>
    <w:rsid w:val="00D12987"/>
    <w:rsid w:val="00D72BA4"/>
    <w:rsid w:val="00DA396C"/>
    <w:rsid w:val="00DE047A"/>
    <w:rsid w:val="00E61B33"/>
    <w:rsid w:val="00EB7594"/>
    <w:rsid w:val="00ED34DA"/>
    <w:rsid w:val="00EE074F"/>
    <w:rsid w:val="00F07D7E"/>
    <w:rsid w:val="00F12C06"/>
    <w:rsid w:val="00F36572"/>
    <w:rsid w:val="00F44D5A"/>
    <w:rsid w:val="00F719F7"/>
    <w:rsid w:val="00FB24AF"/>
    <w:rsid w:val="00FB7F66"/>
    <w:rsid w:val="08F80A11"/>
    <w:rsid w:val="0A5FA978"/>
    <w:rsid w:val="0C9A5055"/>
    <w:rsid w:val="0F14279A"/>
    <w:rsid w:val="0F4236C7"/>
    <w:rsid w:val="1289522E"/>
    <w:rsid w:val="13040241"/>
    <w:rsid w:val="1840E6D5"/>
    <w:rsid w:val="1A820686"/>
    <w:rsid w:val="1F50F6BB"/>
    <w:rsid w:val="20637A30"/>
    <w:rsid w:val="2310764D"/>
    <w:rsid w:val="29B21221"/>
    <w:rsid w:val="2A4272AE"/>
    <w:rsid w:val="31E13C45"/>
    <w:rsid w:val="31FB088B"/>
    <w:rsid w:val="336936E8"/>
    <w:rsid w:val="3B066FD7"/>
    <w:rsid w:val="3B4ED365"/>
    <w:rsid w:val="48650415"/>
    <w:rsid w:val="499A0CA8"/>
    <w:rsid w:val="501378CE"/>
    <w:rsid w:val="521C8344"/>
    <w:rsid w:val="5268C4AB"/>
    <w:rsid w:val="55C6C959"/>
    <w:rsid w:val="583F4F88"/>
    <w:rsid w:val="5FF4E2BA"/>
    <w:rsid w:val="62915EA6"/>
    <w:rsid w:val="6D0122C0"/>
    <w:rsid w:val="73E5DBC4"/>
    <w:rsid w:val="762AF2A0"/>
    <w:rsid w:val="7B3A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5B3698C1"/>
  <w15:chartTrackingRefBased/>
  <w15:docId w15:val="{4262D278-2603-488A-87BE-5003F411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3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23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3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2B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4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C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C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C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24/08/29/2024-17239/education-department-general-administrative-regulations-and-related-regulatory-provision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gnetwork.org/grant-management/apr-program-measur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dedeop.sharepoint.com/:w:/r/sites/EDRTP/_layouts/15/Doc.aspx?sourcedoc=%7BD0E1CC8A-F3F3-4303-858F-DA6D91BC7221%7D&amp;file=OSEP%20Grant%20Performance%20Tips%202025.docx&amp;action=default&amp;mobileredirect=tru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cfr.gov/current/title-2/subtitle-A/chapter-II/part-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a90f-7290-4e1d-b307-c1ac0fad521b">
      <Terms xmlns="http://schemas.microsoft.com/office/infopath/2007/PartnerControls"/>
    </lcf76f155ced4ddcb4097134ff3c332f>
    <TaxCatchAll xmlns="2a2db8c4-56ab-4882-a5d0-0fe8165c6658" xsi:nil="true"/>
    <ApprovalStatus xmlns="2e23a90f-7290-4e1d-b307-c1ac0fad521b">true</ApprovalStatus>
    <_ApprovalAssignedTo xmlns="2e23a90f-7290-4e1d-b307-c1ac0fad521b">
      <UserInfo>
        <DisplayName/>
        <AccountId xsi:nil="true"/>
        <AccountType/>
      </UserInfo>
    </_ApprovalAssignedTo>
    <_ApprovalRespondedBy xmlns="2e23a90f-7290-4e1d-b307-c1ac0fad521b">
      <UserInfo>
        <DisplayName/>
        <AccountId xsi:nil="true"/>
        <AccountType/>
      </UserInfo>
    </_ApprovalRespondedBy>
    <_ApprovalStatus xmlns="2e23a90f-7290-4e1d-b307-c1ac0fad521b">0</_ApprovalStatus>
    <_ApprovalSentBy xmlns="2e23a90f-7290-4e1d-b307-c1ac0fad521b">
      <UserInfo>
        <DisplayName/>
        <AccountId xsi:nil="true"/>
        <AccountType/>
      </UserInfo>
    </_ApprovalSent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D2B6D57C83C4AB33828052F50DFF3" ma:contentTypeVersion="26" ma:contentTypeDescription="Create a new document." ma:contentTypeScope="" ma:versionID="03a5ce63bc358957fc001731ba9375bd">
  <xsd:schema xmlns:xsd="http://www.w3.org/2001/XMLSchema" xmlns:xs="http://www.w3.org/2001/XMLSchema" xmlns:p="http://schemas.microsoft.com/office/2006/metadata/properties" xmlns:ns2="2e23a90f-7290-4e1d-b307-c1ac0fad521b" xmlns:ns3="1a7f198a-4e71-43ee-b149-6ce3f1e60b64" xmlns:ns4="2a2db8c4-56ab-4882-a5d0-0fe8165c6658" targetNamespace="http://schemas.microsoft.com/office/2006/metadata/properties" ma:root="true" ma:fieldsID="6f1c0a5390deb2f53433c4110536d439" ns2:_="" ns3:_="" ns4:_="">
    <xsd:import namespace="2e23a90f-7290-4e1d-b307-c1ac0fad521b"/>
    <xsd:import namespace="1a7f198a-4e71-43ee-b149-6ce3f1e60b64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Approval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a90f-7290-4e1d-b307-c1ac0fad5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alStatus" ma:index="24" nillable="true" ma:displayName="Approval Status " ma:default="1" ma:format="Dropdown" ma:internalName="ApprovalStatus">
      <xsd:simpleType>
        <xsd:restriction base="dms:Boolean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f198a-4e71-43ee-b149-6ce3f1e60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32a5e3-5bb9-4349-b657-3bcec4330c97}" ma:internalName="TaxCatchAll" ma:showField="CatchAllData" ma:web="1a7f198a-4e71-43ee-b149-6ce3f1e60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CADBC-4B05-41A2-AA8C-8A34D4D59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416B2-16A2-42A2-AC91-FF219EB2D16B}">
  <ds:schemaRefs>
    <ds:schemaRef ds:uri="http://schemas.microsoft.com/office/2006/metadata/properties"/>
    <ds:schemaRef ds:uri="http://schemas.microsoft.com/office/infopath/2007/PartnerControls"/>
    <ds:schemaRef ds:uri="2e23a90f-7290-4e1d-b307-c1ac0fad521b"/>
    <ds:schemaRef ds:uri="2a2db8c4-56ab-4882-a5d0-0fe8165c6658"/>
  </ds:schemaRefs>
</ds:datastoreItem>
</file>

<file path=customXml/itemProps3.xml><?xml version="1.0" encoding="utf-8"?>
<ds:datastoreItem xmlns:ds="http://schemas.openxmlformats.org/officeDocument/2006/customXml" ds:itemID="{A1EEED10-BC98-41A7-91BF-D81537DF3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a90f-7290-4e1d-b307-c1ac0fad521b"/>
    <ds:schemaRef ds:uri="1a7f198a-4e71-43ee-b149-6ce3f1e60b64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2358</Words>
  <Characters>14763</Characters>
  <Application>Microsoft Office Word</Application>
  <DocSecurity>4</DocSecurity>
  <Lines>238</Lines>
  <Paragraphs>58</Paragraphs>
  <ScaleCrop>false</ScaleCrop>
  <Company>Department of Education</Company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Jennifer</dc:creator>
  <cp:keywords/>
  <dc:description/>
  <cp:lastModifiedBy>John Lind</cp:lastModifiedBy>
  <cp:revision>2</cp:revision>
  <dcterms:created xsi:type="dcterms:W3CDTF">2026-05-13T18:52:00Z</dcterms:created>
  <dcterms:modified xsi:type="dcterms:W3CDTF">2026-05-13T18:52:00Z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0x01010014AD2B6D57C83C4AB33828052F50DFF3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