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55"/>
        <w:gridCol w:w="3025"/>
        <w:gridCol w:w="2590"/>
        <w:gridCol w:w="2590"/>
        <w:gridCol w:w="2590"/>
      </w:tblGrid>
      <w:tr w:rsidR="008A4435" w14:paraId="2B80EDD0" w14:textId="77777777" w:rsidTr="00B05275">
        <w:tc>
          <w:tcPr>
            <w:tcW w:w="2155" w:type="dxa"/>
          </w:tcPr>
          <w:p w14:paraId="431DE4BF" w14:textId="3B695487" w:rsidR="008A4435" w:rsidRPr="008A4435" w:rsidRDefault="008A4435" w:rsidP="008A4435">
            <w:pPr>
              <w:jc w:val="center"/>
              <w:rPr>
                <w:b/>
                <w:bCs/>
              </w:rPr>
            </w:pPr>
            <w:r>
              <w:rPr>
                <w:b/>
                <w:bCs/>
              </w:rPr>
              <w:t>Challenge</w:t>
            </w:r>
          </w:p>
        </w:tc>
        <w:tc>
          <w:tcPr>
            <w:tcW w:w="3025" w:type="dxa"/>
          </w:tcPr>
          <w:p w14:paraId="6CDD3924" w14:textId="36A2D7D7" w:rsidR="008A4435" w:rsidRPr="008A4435" w:rsidRDefault="00770F67" w:rsidP="00770F67">
            <w:pPr>
              <w:tabs>
                <w:tab w:val="left" w:pos="939"/>
                <w:tab w:val="center" w:pos="1404"/>
              </w:tabs>
              <w:rPr>
                <w:b/>
                <w:bCs/>
              </w:rPr>
            </w:pPr>
            <w:r>
              <w:rPr>
                <w:b/>
                <w:bCs/>
              </w:rPr>
              <w:tab/>
            </w:r>
            <w:r>
              <w:rPr>
                <w:b/>
                <w:bCs/>
              </w:rPr>
              <w:tab/>
              <w:t xml:space="preserve">Project </w:t>
            </w:r>
            <w:r w:rsidR="008A4435">
              <w:rPr>
                <w:b/>
                <w:bCs/>
              </w:rPr>
              <w:t>Strateg</w:t>
            </w:r>
            <w:r w:rsidR="00B45592">
              <w:rPr>
                <w:b/>
                <w:bCs/>
              </w:rPr>
              <w:t>ies</w:t>
            </w:r>
          </w:p>
        </w:tc>
        <w:tc>
          <w:tcPr>
            <w:tcW w:w="2590" w:type="dxa"/>
          </w:tcPr>
          <w:p w14:paraId="7DE61E66" w14:textId="364363D8" w:rsidR="008A4435" w:rsidRPr="008A4435" w:rsidRDefault="00770F67" w:rsidP="008A4435">
            <w:pPr>
              <w:jc w:val="center"/>
              <w:rPr>
                <w:b/>
                <w:bCs/>
              </w:rPr>
            </w:pPr>
            <w:r>
              <w:rPr>
                <w:b/>
                <w:bCs/>
              </w:rPr>
              <w:t xml:space="preserve">Project </w:t>
            </w:r>
            <w:r w:rsidR="008A4435">
              <w:rPr>
                <w:b/>
                <w:bCs/>
              </w:rPr>
              <w:t>Strateg</w:t>
            </w:r>
            <w:r w:rsidR="00B45592">
              <w:rPr>
                <w:b/>
                <w:bCs/>
              </w:rPr>
              <w:t>ies</w:t>
            </w:r>
          </w:p>
        </w:tc>
        <w:tc>
          <w:tcPr>
            <w:tcW w:w="2590" w:type="dxa"/>
          </w:tcPr>
          <w:p w14:paraId="002926DF" w14:textId="733C6B0B" w:rsidR="008A4435" w:rsidRPr="008A4435" w:rsidRDefault="00D6122C" w:rsidP="008A4435">
            <w:pPr>
              <w:jc w:val="center"/>
              <w:rPr>
                <w:b/>
                <w:bCs/>
              </w:rPr>
            </w:pPr>
            <w:r>
              <w:rPr>
                <w:b/>
                <w:bCs/>
              </w:rPr>
              <w:t xml:space="preserve">SIGNetwork </w:t>
            </w:r>
            <w:r w:rsidR="007577E2">
              <w:rPr>
                <w:b/>
                <w:bCs/>
              </w:rPr>
              <w:t>Strateg</w:t>
            </w:r>
            <w:r>
              <w:rPr>
                <w:b/>
                <w:bCs/>
              </w:rPr>
              <w:t>ies</w:t>
            </w:r>
          </w:p>
        </w:tc>
        <w:tc>
          <w:tcPr>
            <w:tcW w:w="2590" w:type="dxa"/>
          </w:tcPr>
          <w:p w14:paraId="45C4D735" w14:textId="1136A11C" w:rsidR="008A4435" w:rsidRPr="008A4435" w:rsidRDefault="00FE7063" w:rsidP="008A4435">
            <w:pPr>
              <w:jc w:val="center"/>
              <w:rPr>
                <w:b/>
                <w:bCs/>
              </w:rPr>
            </w:pPr>
            <w:r>
              <w:rPr>
                <w:b/>
                <w:bCs/>
              </w:rPr>
              <w:t xml:space="preserve">Resources &amp; </w:t>
            </w:r>
            <w:r w:rsidR="008A4435">
              <w:rPr>
                <w:b/>
                <w:bCs/>
              </w:rPr>
              <w:t>Experts</w:t>
            </w:r>
          </w:p>
        </w:tc>
      </w:tr>
      <w:tr w:rsidR="008A4435" w14:paraId="22E07E8A" w14:textId="77777777" w:rsidTr="00B05275">
        <w:tc>
          <w:tcPr>
            <w:tcW w:w="2155" w:type="dxa"/>
          </w:tcPr>
          <w:p w14:paraId="57EE3EBF" w14:textId="77777777" w:rsidR="008A4435" w:rsidRDefault="008A4435" w:rsidP="008A4435">
            <w:pPr>
              <w:rPr>
                <w:rFonts w:eastAsia="Times New Roman"/>
                <w:b/>
                <w:bCs/>
              </w:rPr>
            </w:pPr>
          </w:p>
          <w:p w14:paraId="0C301976" w14:textId="40E6238A" w:rsidR="008A4435" w:rsidRPr="008A4435" w:rsidRDefault="008A4435" w:rsidP="008A4435">
            <w:pPr>
              <w:rPr>
                <w:b/>
                <w:bCs/>
              </w:rPr>
            </w:pPr>
            <w:r w:rsidRPr="008A4435">
              <w:rPr>
                <w:rFonts w:eastAsia="Times New Roman"/>
                <w:b/>
                <w:bCs/>
              </w:rPr>
              <w:t>Motivation and cognition</w:t>
            </w:r>
          </w:p>
        </w:tc>
        <w:tc>
          <w:tcPr>
            <w:tcW w:w="3025" w:type="dxa"/>
          </w:tcPr>
          <w:p w14:paraId="21F0D408" w14:textId="77777777" w:rsidR="008A4435" w:rsidRDefault="008A4435" w:rsidP="008A4435">
            <w:r>
              <w:t>Use what is know</w:t>
            </w:r>
            <w:r w:rsidR="004C3479">
              <w:t>n</w:t>
            </w:r>
            <w:r>
              <w:t xml:space="preserve"> about adult learning for training and coaching.</w:t>
            </w:r>
          </w:p>
          <w:p w14:paraId="22251264" w14:textId="77777777" w:rsidR="00BD1B94" w:rsidRDefault="00BD1B94" w:rsidP="008A4435"/>
          <w:p w14:paraId="2C4D6FA0" w14:textId="033F487E" w:rsidR="00BD1B94" w:rsidRDefault="00BD1B94" w:rsidP="008A4435">
            <w:r>
              <w:t>Distributed practice.</w:t>
            </w:r>
          </w:p>
        </w:tc>
        <w:tc>
          <w:tcPr>
            <w:tcW w:w="2590" w:type="dxa"/>
          </w:tcPr>
          <w:p w14:paraId="193CB8C6" w14:textId="77777777" w:rsidR="008A4435" w:rsidRDefault="00155DCA" w:rsidP="008A4435">
            <w:r>
              <w:t xml:space="preserve">Giving people a map of </w:t>
            </w:r>
            <w:r w:rsidR="00794EA3">
              <w:t>what learning will look like; how long it will take to do these practices well.</w:t>
            </w:r>
          </w:p>
          <w:p w14:paraId="2F9B2867" w14:textId="77777777" w:rsidR="00794EA3" w:rsidRDefault="00794EA3" w:rsidP="008A4435"/>
          <w:p w14:paraId="31C029F6" w14:textId="1413DF88" w:rsidR="00794EA3" w:rsidRDefault="00794EA3" w:rsidP="008A4435"/>
        </w:tc>
        <w:tc>
          <w:tcPr>
            <w:tcW w:w="2590" w:type="dxa"/>
          </w:tcPr>
          <w:p w14:paraId="775F5CF1" w14:textId="77777777" w:rsidR="008A4435" w:rsidRDefault="00BF055D" w:rsidP="008A4435">
            <w:r>
              <w:t>Neuroscientists – what is it and how it relates to learning.</w:t>
            </w:r>
          </w:p>
          <w:p w14:paraId="0C2B96A7" w14:textId="77777777" w:rsidR="007B7D24" w:rsidRDefault="007B7D24" w:rsidP="008A4435"/>
          <w:p w14:paraId="29E7F1A2" w14:textId="77777777" w:rsidR="007B7D24" w:rsidRDefault="007B7D24" w:rsidP="008A4435">
            <w:r>
              <w:t>Carol Trivette</w:t>
            </w:r>
          </w:p>
          <w:p w14:paraId="6C1A003B" w14:textId="77777777" w:rsidR="00062E24" w:rsidRDefault="00062E24" w:rsidP="008A4435"/>
          <w:p w14:paraId="380DB965" w14:textId="77777777" w:rsidR="00062E24" w:rsidRDefault="00062E24" w:rsidP="008A4435">
            <w:r>
              <w:t>Bilingual brain</w:t>
            </w:r>
          </w:p>
          <w:p w14:paraId="474E3D3C" w14:textId="77777777" w:rsidR="00F56766" w:rsidRDefault="00F56766" w:rsidP="008A4435"/>
          <w:p w14:paraId="34169E3B" w14:textId="10C68AA7" w:rsidR="00F56766" w:rsidRDefault="00F56766" w:rsidP="008A4435">
            <w:r>
              <w:t xml:space="preserve">Motivation: Want to have sustainability and fidelity </w:t>
            </w:r>
          </w:p>
        </w:tc>
        <w:tc>
          <w:tcPr>
            <w:tcW w:w="2590" w:type="dxa"/>
          </w:tcPr>
          <w:p w14:paraId="62C10B6F" w14:textId="77777777" w:rsidR="008A4435" w:rsidRDefault="008A4435" w:rsidP="008A4435"/>
        </w:tc>
      </w:tr>
      <w:tr w:rsidR="008A4435" w14:paraId="0F48F660" w14:textId="77777777" w:rsidTr="00B05275">
        <w:tc>
          <w:tcPr>
            <w:tcW w:w="2155" w:type="dxa"/>
          </w:tcPr>
          <w:p w14:paraId="525595B4" w14:textId="77777777" w:rsidR="008A4435" w:rsidRDefault="008A4435" w:rsidP="008A4435">
            <w:pPr>
              <w:rPr>
                <w:rFonts w:eastAsia="Times New Roman"/>
                <w:b/>
                <w:bCs/>
              </w:rPr>
            </w:pPr>
          </w:p>
          <w:p w14:paraId="4F4693AF" w14:textId="77777777" w:rsidR="008A4435" w:rsidRDefault="008A4435" w:rsidP="008A4435">
            <w:pPr>
              <w:rPr>
                <w:rFonts w:eastAsia="Times New Roman"/>
                <w:b/>
                <w:bCs/>
              </w:rPr>
            </w:pPr>
            <w:r w:rsidRPr="008A4435">
              <w:rPr>
                <w:rFonts w:eastAsia="Times New Roman"/>
                <w:b/>
                <w:bCs/>
              </w:rPr>
              <w:t>Coaching</w:t>
            </w:r>
          </w:p>
          <w:p w14:paraId="1963261D" w14:textId="69EA0884" w:rsidR="00FE2B24" w:rsidRPr="00FE2B24" w:rsidRDefault="00FE2B24" w:rsidP="00FE2B24">
            <w:pPr>
              <w:jc w:val="right"/>
            </w:pPr>
          </w:p>
        </w:tc>
        <w:tc>
          <w:tcPr>
            <w:tcW w:w="3025" w:type="dxa"/>
          </w:tcPr>
          <w:p w14:paraId="0BB9DFEF" w14:textId="61C6942A" w:rsidR="008A4435" w:rsidRDefault="00B05275" w:rsidP="008A4435">
            <w:r>
              <w:t>Help practitioners understand what “evidence” of the different components look like.</w:t>
            </w:r>
          </w:p>
        </w:tc>
        <w:tc>
          <w:tcPr>
            <w:tcW w:w="2590" w:type="dxa"/>
          </w:tcPr>
          <w:p w14:paraId="085C2585" w14:textId="77777777" w:rsidR="008A4435" w:rsidRDefault="00D931CF" w:rsidP="008A4435">
            <w:r>
              <w:t>How do we know assistance is making a difference in the classroom?</w:t>
            </w:r>
          </w:p>
          <w:p w14:paraId="74D08C8B" w14:textId="6C92F261" w:rsidR="006403F6" w:rsidRDefault="006403F6" w:rsidP="008A4435">
            <w:r>
              <w:t>Next steps in coaching.</w:t>
            </w:r>
          </w:p>
        </w:tc>
        <w:tc>
          <w:tcPr>
            <w:tcW w:w="2590" w:type="dxa"/>
          </w:tcPr>
          <w:p w14:paraId="7FAC9D97" w14:textId="16E79F3A" w:rsidR="008A4435" w:rsidRDefault="007341DF" w:rsidP="008A4435">
            <w:r>
              <w:t>SIGnetwork peer mentoring</w:t>
            </w:r>
          </w:p>
        </w:tc>
        <w:tc>
          <w:tcPr>
            <w:tcW w:w="2590" w:type="dxa"/>
          </w:tcPr>
          <w:p w14:paraId="1C2695AE" w14:textId="6B36CCA9" w:rsidR="008A4435" w:rsidRDefault="00E47ECE" w:rsidP="008A4435">
            <w:r>
              <w:t>New to SPDG resource playlist.</w:t>
            </w:r>
          </w:p>
        </w:tc>
      </w:tr>
      <w:tr w:rsidR="008A4435" w14:paraId="43D016E9" w14:textId="77777777" w:rsidTr="00B05275">
        <w:tc>
          <w:tcPr>
            <w:tcW w:w="2155" w:type="dxa"/>
          </w:tcPr>
          <w:p w14:paraId="64E960E0" w14:textId="77777777" w:rsidR="008A4435" w:rsidRDefault="008A4435" w:rsidP="008A4435">
            <w:pPr>
              <w:rPr>
                <w:rFonts w:eastAsia="Times New Roman"/>
                <w:b/>
                <w:bCs/>
              </w:rPr>
            </w:pPr>
          </w:p>
          <w:p w14:paraId="7D208342" w14:textId="385D0DDB" w:rsidR="008A4435" w:rsidRPr="008A4435" w:rsidRDefault="008A4435" w:rsidP="008A4435">
            <w:pPr>
              <w:rPr>
                <w:b/>
                <w:bCs/>
              </w:rPr>
            </w:pPr>
            <w:r w:rsidRPr="008A4435">
              <w:rPr>
                <w:rFonts w:eastAsia="Times New Roman"/>
                <w:b/>
                <w:bCs/>
              </w:rPr>
              <w:t>Data collection and use</w:t>
            </w:r>
          </w:p>
        </w:tc>
        <w:tc>
          <w:tcPr>
            <w:tcW w:w="3025" w:type="dxa"/>
          </w:tcPr>
          <w:p w14:paraId="635878A1" w14:textId="50DDCAFE" w:rsidR="008A4435" w:rsidRDefault="008A4435" w:rsidP="008A4435">
            <w:r>
              <w:t>Use formative data through coaching to gather fidelity data or growth in fidelity at key intervals (data for multiple purposes).</w:t>
            </w:r>
          </w:p>
        </w:tc>
        <w:tc>
          <w:tcPr>
            <w:tcW w:w="2590" w:type="dxa"/>
          </w:tcPr>
          <w:p w14:paraId="583D4393" w14:textId="77777777" w:rsidR="008A4435" w:rsidRDefault="00753A73" w:rsidP="008A4435">
            <w:r>
              <w:t>Helping to understand why things are working or not working.</w:t>
            </w:r>
          </w:p>
          <w:p w14:paraId="23C113CF" w14:textId="77777777" w:rsidR="00D6122C" w:rsidRDefault="00D6122C" w:rsidP="008A4435"/>
          <w:p w14:paraId="4121B93A" w14:textId="77777777" w:rsidR="00D6122C" w:rsidRDefault="00D6122C" w:rsidP="00D6122C">
            <w:r>
              <w:t xml:space="preserve">Data System that is easy to use and helps track </w:t>
            </w:r>
            <w:proofErr w:type="gramStart"/>
            <w:r>
              <w:t>trends</w:t>
            </w:r>
            <w:proofErr w:type="gramEnd"/>
          </w:p>
          <w:p w14:paraId="45CBB56B" w14:textId="77777777" w:rsidR="00D6122C" w:rsidRDefault="00D6122C" w:rsidP="00D6122C"/>
          <w:p w14:paraId="5418A9DB" w14:textId="32FBB16C" w:rsidR="00D6122C" w:rsidRDefault="00D6122C" w:rsidP="00D6122C">
            <w:r>
              <w:t>Doesn’t need to be one person or one instrument. Could be different ways to measure dosage and quality.</w:t>
            </w:r>
          </w:p>
        </w:tc>
        <w:tc>
          <w:tcPr>
            <w:tcW w:w="2590" w:type="dxa"/>
          </w:tcPr>
          <w:p w14:paraId="51390994" w14:textId="6C8AAD94" w:rsidR="0032217F" w:rsidRDefault="0032217F" w:rsidP="008A4435"/>
        </w:tc>
        <w:tc>
          <w:tcPr>
            <w:tcW w:w="2590" w:type="dxa"/>
          </w:tcPr>
          <w:p w14:paraId="14315680" w14:textId="77777777" w:rsidR="008A4435" w:rsidRDefault="008A4435" w:rsidP="008A4435"/>
        </w:tc>
      </w:tr>
      <w:tr w:rsidR="008A4435" w14:paraId="0D3474F9" w14:textId="77777777" w:rsidTr="00B05275">
        <w:tc>
          <w:tcPr>
            <w:tcW w:w="2155" w:type="dxa"/>
          </w:tcPr>
          <w:p w14:paraId="07603E1A" w14:textId="77777777" w:rsidR="008A4435" w:rsidRDefault="008A4435" w:rsidP="008A4435">
            <w:pPr>
              <w:rPr>
                <w:rFonts w:eastAsia="Times New Roman"/>
                <w:b/>
                <w:bCs/>
              </w:rPr>
            </w:pPr>
          </w:p>
          <w:p w14:paraId="210BBB25" w14:textId="683654CD" w:rsidR="008A4435" w:rsidRPr="008A4435" w:rsidRDefault="008A4435" w:rsidP="008A4435">
            <w:pPr>
              <w:rPr>
                <w:b/>
                <w:bCs/>
              </w:rPr>
            </w:pPr>
            <w:r w:rsidRPr="008A4435">
              <w:rPr>
                <w:rFonts w:eastAsia="Times New Roman"/>
                <w:b/>
                <w:bCs/>
              </w:rPr>
              <w:t>Education system and capacity building</w:t>
            </w:r>
          </w:p>
        </w:tc>
        <w:tc>
          <w:tcPr>
            <w:tcW w:w="3025" w:type="dxa"/>
          </w:tcPr>
          <w:p w14:paraId="195A0061" w14:textId="77777777" w:rsidR="008A4435" w:rsidRDefault="004C3479" w:rsidP="008A4435">
            <w:r>
              <w:t>Critical component analysis.</w:t>
            </w:r>
          </w:p>
          <w:p w14:paraId="594E6243" w14:textId="77777777" w:rsidR="00D6122C" w:rsidRDefault="00D6122C" w:rsidP="008A4435"/>
          <w:p w14:paraId="5A172D64" w14:textId="2F1C8EE4" w:rsidR="00D6122C" w:rsidRDefault="00D6122C" w:rsidP="008A4435">
            <w:r>
              <w:t xml:space="preserve">Communication Loop: Providing sites’ fidelity data to the district to gauge how the </w:t>
            </w:r>
            <w:r>
              <w:lastRenderedPageBreak/>
              <w:t>district implementation plan is faring and how implementation supports should be provided.</w:t>
            </w:r>
          </w:p>
        </w:tc>
        <w:tc>
          <w:tcPr>
            <w:tcW w:w="2590" w:type="dxa"/>
          </w:tcPr>
          <w:p w14:paraId="097A5351" w14:textId="03AD338C" w:rsidR="008A4435" w:rsidRDefault="00753A73" w:rsidP="008A4435">
            <w:pPr>
              <w:rPr>
                <w:b/>
                <w:bCs/>
              </w:rPr>
            </w:pPr>
            <w:r w:rsidRPr="00F82D93">
              <w:rPr>
                <w:b/>
                <w:bCs/>
              </w:rPr>
              <w:lastRenderedPageBreak/>
              <w:t>Increase collaborative consensus for system change and prepare for implementation work.</w:t>
            </w:r>
          </w:p>
          <w:p w14:paraId="269F36B0" w14:textId="6D23E488" w:rsidR="00BB5C4D" w:rsidRPr="00BB5C4D" w:rsidRDefault="00BB5C4D" w:rsidP="00BB5C4D">
            <w:pPr>
              <w:ind w:left="720"/>
            </w:pPr>
            <w:r w:rsidRPr="00BB5C4D">
              <w:lastRenderedPageBreak/>
              <w:t xml:space="preserve">Planning together – work sessions </w:t>
            </w:r>
            <w:proofErr w:type="gramStart"/>
            <w:r w:rsidRPr="00BB5C4D">
              <w:t>over time</w:t>
            </w:r>
            <w:proofErr w:type="gramEnd"/>
            <w:r w:rsidRPr="00BB5C4D">
              <w:t>.</w:t>
            </w:r>
          </w:p>
          <w:p w14:paraId="463542F3" w14:textId="3BA37989" w:rsidR="00BB5C4D" w:rsidRPr="00F82D93" w:rsidRDefault="00BB5C4D" w:rsidP="008A4435">
            <w:pPr>
              <w:rPr>
                <w:b/>
                <w:bCs/>
              </w:rPr>
            </w:pPr>
          </w:p>
        </w:tc>
        <w:tc>
          <w:tcPr>
            <w:tcW w:w="2590" w:type="dxa"/>
          </w:tcPr>
          <w:p w14:paraId="04563428" w14:textId="5D207981" w:rsidR="008A4435" w:rsidRDefault="005A744E" w:rsidP="008A4435">
            <w:r>
              <w:lastRenderedPageBreak/>
              <w:t>Fidelity process – guidance.</w:t>
            </w:r>
            <w:r w:rsidR="000A51A7">
              <w:t xml:space="preserve"> Folks who attend Friday Fidelity </w:t>
            </w:r>
            <w:r w:rsidR="00AD22F2">
              <w:t xml:space="preserve">one participant </w:t>
            </w:r>
            <w:r w:rsidR="000A51A7">
              <w:t xml:space="preserve">could share a problem of practice </w:t>
            </w:r>
            <w:r w:rsidR="00AD22F2">
              <w:t xml:space="preserve">and </w:t>
            </w:r>
            <w:r w:rsidR="00AD22F2">
              <w:lastRenderedPageBreak/>
              <w:t>others could help address it.</w:t>
            </w:r>
            <w:r w:rsidR="000A51A7">
              <w:t xml:space="preserve"> </w:t>
            </w:r>
          </w:p>
        </w:tc>
        <w:tc>
          <w:tcPr>
            <w:tcW w:w="2590" w:type="dxa"/>
          </w:tcPr>
          <w:p w14:paraId="7A1B87C4" w14:textId="77777777" w:rsidR="008A4435" w:rsidRDefault="008A4435" w:rsidP="008A4435"/>
        </w:tc>
      </w:tr>
      <w:tr w:rsidR="008A4435" w14:paraId="7EDBC22D" w14:textId="77777777" w:rsidTr="00B05275">
        <w:tc>
          <w:tcPr>
            <w:tcW w:w="2155" w:type="dxa"/>
          </w:tcPr>
          <w:p w14:paraId="027CC5A2" w14:textId="77777777" w:rsidR="008A4435" w:rsidRDefault="008A4435" w:rsidP="008A4435">
            <w:pPr>
              <w:rPr>
                <w:rFonts w:eastAsia="Times New Roman"/>
                <w:b/>
                <w:bCs/>
              </w:rPr>
            </w:pPr>
          </w:p>
          <w:p w14:paraId="30783738" w14:textId="123B2811" w:rsidR="008A4435" w:rsidRPr="008A4435" w:rsidRDefault="008A4435" w:rsidP="008A4435">
            <w:pPr>
              <w:rPr>
                <w:b/>
                <w:bCs/>
              </w:rPr>
            </w:pPr>
            <w:r w:rsidRPr="008A4435">
              <w:rPr>
                <w:rFonts w:eastAsia="Times New Roman"/>
                <w:b/>
                <w:bCs/>
              </w:rPr>
              <w:t>Having a fidelity measure that works</w:t>
            </w:r>
          </w:p>
        </w:tc>
        <w:tc>
          <w:tcPr>
            <w:tcW w:w="3025" w:type="dxa"/>
          </w:tcPr>
          <w:p w14:paraId="0EEB331E" w14:textId="70B57D08" w:rsidR="008A4435" w:rsidRDefault="003C3834" w:rsidP="008A4435">
            <w:r>
              <w:t>Co-creating the tool with the p</w:t>
            </w:r>
            <w:r w:rsidR="000A0C07">
              <w:t>ractitioners.</w:t>
            </w:r>
          </w:p>
        </w:tc>
        <w:tc>
          <w:tcPr>
            <w:tcW w:w="2590" w:type="dxa"/>
          </w:tcPr>
          <w:p w14:paraId="096AA74F" w14:textId="77777777" w:rsidR="008A4435" w:rsidRDefault="00567396" w:rsidP="008A4435">
            <w:r>
              <w:t>Simple and quick tool</w:t>
            </w:r>
          </w:p>
          <w:p w14:paraId="531D0A09" w14:textId="77777777" w:rsidR="00D6122C" w:rsidRDefault="00D6122C" w:rsidP="008A4435"/>
          <w:p w14:paraId="7014BC38" w14:textId="1C16DC4E" w:rsidR="00D6122C" w:rsidRDefault="00D6122C" w:rsidP="008A4435">
            <w:r>
              <w:t>Generalizable</w:t>
            </w:r>
          </w:p>
        </w:tc>
        <w:tc>
          <w:tcPr>
            <w:tcW w:w="2590" w:type="dxa"/>
          </w:tcPr>
          <w:p w14:paraId="6685A4A1" w14:textId="5CC26385" w:rsidR="008A4435" w:rsidRDefault="008A4435" w:rsidP="008A4435"/>
        </w:tc>
        <w:tc>
          <w:tcPr>
            <w:tcW w:w="2590" w:type="dxa"/>
          </w:tcPr>
          <w:p w14:paraId="3009B118" w14:textId="77777777" w:rsidR="008A4435" w:rsidRDefault="008A4435" w:rsidP="008A4435"/>
        </w:tc>
      </w:tr>
      <w:tr w:rsidR="008A4435" w14:paraId="6EAF09FC" w14:textId="77777777" w:rsidTr="00B05275">
        <w:tc>
          <w:tcPr>
            <w:tcW w:w="2155" w:type="dxa"/>
          </w:tcPr>
          <w:p w14:paraId="005F6EF4" w14:textId="77777777" w:rsidR="008A4435" w:rsidRDefault="008A4435" w:rsidP="008A4435">
            <w:pPr>
              <w:rPr>
                <w:rFonts w:eastAsia="Times New Roman"/>
                <w:b/>
                <w:bCs/>
              </w:rPr>
            </w:pPr>
          </w:p>
          <w:p w14:paraId="4FB53E18" w14:textId="07B686D6" w:rsidR="008A4435" w:rsidRPr="008A4435" w:rsidRDefault="008A4435" w:rsidP="008A4435">
            <w:pPr>
              <w:rPr>
                <w:b/>
                <w:bCs/>
              </w:rPr>
            </w:pPr>
            <w:r w:rsidRPr="008A4435">
              <w:rPr>
                <w:rFonts w:eastAsia="Times New Roman"/>
                <w:b/>
                <w:bCs/>
              </w:rPr>
              <w:t>Communications</w:t>
            </w:r>
          </w:p>
        </w:tc>
        <w:tc>
          <w:tcPr>
            <w:tcW w:w="3025" w:type="dxa"/>
          </w:tcPr>
          <w:p w14:paraId="771C0165" w14:textId="063CAED4" w:rsidR="008A4435" w:rsidRDefault="000A0C07" w:rsidP="008A4435">
            <w:proofErr w:type="gramStart"/>
            <w:r>
              <w:t>Have to</w:t>
            </w:r>
            <w:proofErr w:type="gramEnd"/>
            <w:r>
              <w:t xml:space="preserve"> know </w:t>
            </w:r>
            <w:r w:rsidRPr="008244DD">
              <w:rPr>
                <w:b/>
                <w:bCs/>
              </w:rPr>
              <w:t>what</w:t>
            </w:r>
            <w:r>
              <w:t xml:space="preserve"> will work or else cannot spend the time on it</w:t>
            </w:r>
            <w:r w:rsidR="00D27BF8">
              <w:t xml:space="preserve"> (efficiency). Using the resources wisely.</w:t>
            </w:r>
          </w:p>
        </w:tc>
        <w:tc>
          <w:tcPr>
            <w:tcW w:w="2590" w:type="dxa"/>
          </w:tcPr>
          <w:p w14:paraId="02EB94C7" w14:textId="00376F9E" w:rsidR="008A4435" w:rsidRDefault="004753C7" w:rsidP="008A4435">
            <w:r>
              <w:t>T</w:t>
            </w:r>
            <w:r w:rsidRPr="004753C7">
              <w:t>o help you</w:t>
            </w:r>
            <w:r>
              <w:t xml:space="preserve"> (the end user)</w:t>
            </w:r>
            <w:r w:rsidRPr="004753C7">
              <w:t xml:space="preserve"> know your strengths and areas to focus on</w:t>
            </w:r>
            <w:r>
              <w:t>.</w:t>
            </w:r>
          </w:p>
          <w:p w14:paraId="69C1B598" w14:textId="47608713" w:rsidR="00D6122C" w:rsidRDefault="00D6122C" w:rsidP="008A4435"/>
          <w:p w14:paraId="5D2AB99E" w14:textId="4B1FDACF" w:rsidR="00D6122C" w:rsidRDefault="00D6122C" w:rsidP="008A4435">
            <w:r>
              <w:t>How will we know it’s working?</w:t>
            </w:r>
          </w:p>
          <w:p w14:paraId="6A3A3766" w14:textId="77777777" w:rsidR="004C3479" w:rsidRDefault="004C3479" w:rsidP="008A4435"/>
          <w:p w14:paraId="086E885D" w14:textId="22B73A09" w:rsidR="004C3479" w:rsidRDefault="004C3479" w:rsidP="008A4435"/>
        </w:tc>
        <w:tc>
          <w:tcPr>
            <w:tcW w:w="2590" w:type="dxa"/>
          </w:tcPr>
          <w:p w14:paraId="728EE5EF" w14:textId="560A91C9" w:rsidR="008A4435" w:rsidRDefault="00BA362D" w:rsidP="008A4435">
            <w:r>
              <w:t>Bright spots/</w:t>
            </w:r>
            <w:r w:rsidR="00D6122C">
              <w:t>Case studies</w:t>
            </w:r>
            <w:r w:rsidR="00BF2DC2">
              <w:t xml:space="preserve"> – what worked and what didn’t’. District, school, and other levels.</w:t>
            </w:r>
          </w:p>
          <w:p w14:paraId="059A0929" w14:textId="77777777" w:rsidR="00D6122C" w:rsidRDefault="00D6122C" w:rsidP="008A4435"/>
          <w:p w14:paraId="1BE305E4" w14:textId="77777777" w:rsidR="00D6122C" w:rsidRDefault="00D6122C" w:rsidP="008A4435">
            <w:r>
              <w:t>Videos</w:t>
            </w:r>
          </w:p>
          <w:p w14:paraId="2A92FA0E" w14:textId="77777777" w:rsidR="00D6122C" w:rsidRDefault="00D6122C" w:rsidP="008A4435"/>
          <w:p w14:paraId="59D4C4D2" w14:textId="77777777" w:rsidR="00D6122C" w:rsidRDefault="003472A0" w:rsidP="008A4435">
            <w:r>
              <w:t>Definitions of fidelity and what it looks like in different contexts.</w:t>
            </w:r>
          </w:p>
          <w:p w14:paraId="676FADC7" w14:textId="77777777" w:rsidR="00360432" w:rsidRDefault="00360432" w:rsidP="008A4435"/>
          <w:p w14:paraId="173AB47E" w14:textId="77777777" w:rsidR="00360432" w:rsidRDefault="00360432" w:rsidP="008A4435">
            <w:r>
              <w:t>“Make It Stick” as applied to fidelity.</w:t>
            </w:r>
            <w:r w:rsidR="004D6E61">
              <w:t xml:space="preserve"> Messaging to generate motivation.</w:t>
            </w:r>
          </w:p>
          <w:p w14:paraId="04ABE94E" w14:textId="77777777" w:rsidR="00FE08CD" w:rsidRDefault="00FE08CD" w:rsidP="008A4435"/>
          <w:p w14:paraId="13721741" w14:textId="70688379" w:rsidR="00FE08CD" w:rsidRDefault="00FE08CD" w:rsidP="008A4435">
            <w:r w:rsidRPr="00FE08CD">
              <w:t>I think it would be helpful to take these ideas and concepts around fidelity and begin putting them into resources and tools. Maybe offer topic conversations around fidelity as they come up with SPDGs.</w:t>
            </w:r>
          </w:p>
        </w:tc>
        <w:tc>
          <w:tcPr>
            <w:tcW w:w="2590" w:type="dxa"/>
          </w:tcPr>
          <w:p w14:paraId="1AF2C652" w14:textId="77777777" w:rsidR="008A4435" w:rsidRDefault="008A4435" w:rsidP="008A4435"/>
        </w:tc>
      </w:tr>
    </w:tbl>
    <w:p w14:paraId="5F464AFD" w14:textId="77777777" w:rsidR="0074205E" w:rsidRDefault="0074205E"/>
    <w:sectPr w:rsidR="0074205E" w:rsidSect="008A4435">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58D8" w14:textId="77777777" w:rsidR="00337C68" w:rsidRDefault="00337C68" w:rsidP="008A4435">
      <w:pPr>
        <w:spacing w:after="0" w:line="240" w:lineRule="auto"/>
      </w:pPr>
      <w:r>
        <w:separator/>
      </w:r>
    </w:p>
  </w:endnote>
  <w:endnote w:type="continuationSeparator" w:id="0">
    <w:p w14:paraId="4CE3D4E5" w14:textId="77777777" w:rsidR="00337C68" w:rsidRDefault="00337C68" w:rsidP="008A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550B4" w14:textId="77777777" w:rsidR="00337C68" w:rsidRDefault="00337C68" w:rsidP="008A4435">
      <w:pPr>
        <w:spacing w:after="0" w:line="240" w:lineRule="auto"/>
      </w:pPr>
      <w:r>
        <w:separator/>
      </w:r>
    </w:p>
  </w:footnote>
  <w:footnote w:type="continuationSeparator" w:id="0">
    <w:p w14:paraId="69A612A7" w14:textId="77777777" w:rsidR="00337C68" w:rsidRDefault="00337C68" w:rsidP="008A4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3B82" w14:textId="62157BCC" w:rsidR="008A4435" w:rsidRDefault="008A4435">
    <w:pPr>
      <w:pStyle w:val="Header"/>
    </w:pPr>
    <w:r>
      <w:t>Fidelity Challenges &amp; Strategies</w:t>
    </w:r>
  </w:p>
  <w:p w14:paraId="4655AD8D" w14:textId="77777777" w:rsidR="008A4435" w:rsidRDefault="008A44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35"/>
    <w:rsid w:val="00062E24"/>
    <w:rsid w:val="000A0C07"/>
    <w:rsid w:val="000A51A7"/>
    <w:rsid w:val="00155DCA"/>
    <w:rsid w:val="0032217F"/>
    <w:rsid w:val="00337C68"/>
    <w:rsid w:val="003472A0"/>
    <w:rsid w:val="00360432"/>
    <w:rsid w:val="003C3834"/>
    <w:rsid w:val="003C5F12"/>
    <w:rsid w:val="003D4E62"/>
    <w:rsid w:val="003F04BD"/>
    <w:rsid w:val="004753C7"/>
    <w:rsid w:val="004C3479"/>
    <w:rsid w:val="004D6E61"/>
    <w:rsid w:val="005164DA"/>
    <w:rsid w:val="00567396"/>
    <w:rsid w:val="005A744E"/>
    <w:rsid w:val="006403F6"/>
    <w:rsid w:val="006970B2"/>
    <w:rsid w:val="007341DF"/>
    <w:rsid w:val="0074205E"/>
    <w:rsid w:val="00753A73"/>
    <w:rsid w:val="007577E2"/>
    <w:rsid w:val="00770F42"/>
    <w:rsid w:val="00770F67"/>
    <w:rsid w:val="00794EA3"/>
    <w:rsid w:val="007B7D24"/>
    <w:rsid w:val="008244DD"/>
    <w:rsid w:val="008A4435"/>
    <w:rsid w:val="0099582C"/>
    <w:rsid w:val="00AA5E3D"/>
    <w:rsid w:val="00AD22F2"/>
    <w:rsid w:val="00B05275"/>
    <w:rsid w:val="00B45592"/>
    <w:rsid w:val="00BA362D"/>
    <w:rsid w:val="00BB5C4D"/>
    <w:rsid w:val="00BD1B94"/>
    <w:rsid w:val="00BF055D"/>
    <w:rsid w:val="00BF2DC2"/>
    <w:rsid w:val="00D27BF8"/>
    <w:rsid w:val="00D6122C"/>
    <w:rsid w:val="00D85BE8"/>
    <w:rsid w:val="00D931CF"/>
    <w:rsid w:val="00E10BB4"/>
    <w:rsid w:val="00E12A65"/>
    <w:rsid w:val="00E47ECE"/>
    <w:rsid w:val="00EC72BD"/>
    <w:rsid w:val="00F56766"/>
    <w:rsid w:val="00F82D93"/>
    <w:rsid w:val="00FE08CD"/>
    <w:rsid w:val="00FE2B24"/>
    <w:rsid w:val="00FE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1569"/>
  <w15:chartTrackingRefBased/>
  <w15:docId w15:val="{48A8D95B-40DD-4446-9E50-7F858E16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435"/>
  </w:style>
  <w:style w:type="paragraph" w:styleId="Footer">
    <w:name w:val="footer"/>
    <w:basedOn w:val="Normal"/>
    <w:link w:val="FooterChar"/>
    <w:uiPriority w:val="99"/>
    <w:unhideWhenUsed/>
    <w:rsid w:val="008A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435"/>
  </w:style>
  <w:style w:type="table" w:styleId="TableGrid">
    <w:name w:val="Table Grid"/>
    <w:basedOn w:val="TableNormal"/>
    <w:uiPriority w:val="39"/>
    <w:rsid w:val="008A4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Jennifer</dc:creator>
  <cp:keywords/>
  <dc:description/>
  <cp:lastModifiedBy>Coffey, Jennifer</cp:lastModifiedBy>
  <cp:revision>47</cp:revision>
  <dcterms:created xsi:type="dcterms:W3CDTF">2022-12-05T17:46:00Z</dcterms:created>
  <dcterms:modified xsi:type="dcterms:W3CDTF">2023-10-02T17:43:00Z</dcterms:modified>
</cp:coreProperties>
</file>